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84BF34" w14:textId="74CBBB35" w:rsidR="00ED0A4E" w:rsidRDefault="00ED0A4E" w:rsidP="00ED0A4E">
      <w:pPr>
        <w:spacing w:after="240" w:line="300" w:lineRule="exact"/>
        <w:jc w:val="center"/>
        <w:rPr>
          <w:rFonts w:asciiTheme="majorBidi" w:hAnsiTheme="majorBidi" w:cstheme="majorBidi"/>
          <w:sz w:val="24"/>
          <w:szCs w:val="23"/>
        </w:rPr>
      </w:pPr>
      <w:r>
        <w:rPr>
          <w:rFonts w:asciiTheme="majorBidi" w:hAnsiTheme="majorBidi" w:cstheme="majorBidi"/>
          <w:sz w:val="24"/>
          <w:szCs w:val="23"/>
        </w:rPr>
        <w:t>La Casa Universale di Giustizia</w:t>
      </w:r>
    </w:p>
    <w:p w14:paraId="6B094C73" w14:textId="6AB6F6CB" w:rsidR="00ED0A4E" w:rsidRDefault="00ED0A4E" w:rsidP="00ED0A4E">
      <w:pPr>
        <w:spacing w:line="300" w:lineRule="exact"/>
        <w:jc w:val="center"/>
        <w:rPr>
          <w:rFonts w:asciiTheme="majorBidi" w:hAnsiTheme="majorBidi" w:cstheme="majorBidi"/>
          <w:sz w:val="24"/>
          <w:szCs w:val="23"/>
        </w:rPr>
      </w:pPr>
      <w:r>
        <w:rPr>
          <w:rFonts w:asciiTheme="majorBidi" w:hAnsiTheme="majorBidi" w:cstheme="majorBidi"/>
          <w:sz w:val="24"/>
          <w:szCs w:val="23"/>
        </w:rPr>
        <w:t>Dipartimento della segreteria</w:t>
      </w:r>
    </w:p>
    <w:p w14:paraId="04442802" w14:textId="77777777" w:rsidR="00ED0A4E" w:rsidRPr="00ED0A4E" w:rsidRDefault="00ED0A4E" w:rsidP="00ED0A4E">
      <w:pPr>
        <w:spacing w:line="300" w:lineRule="exact"/>
        <w:jc w:val="center"/>
        <w:rPr>
          <w:rFonts w:asciiTheme="majorBidi" w:hAnsiTheme="majorBidi" w:cstheme="majorBidi"/>
          <w:sz w:val="24"/>
          <w:szCs w:val="24"/>
        </w:rPr>
      </w:pPr>
    </w:p>
    <w:p w14:paraId="45BF8D5F" w14:textId="629B45B0" w:rsidR="00ED0A4E" w:rsidRPr="00ED0A4E" w:rsidRDefault="00ED0A4E" w:rsidP="00ED0A4E">
      <w:pPr>
        <w:spacing w:line="300" w:lineRule="exact"/>
        <w:jc w:val="right"/>
        <w:rPr>
          <w:rFonts w:asciiTheme="majorBidi" w:hAnsiTheme="majorBidi" w:cstheme="majorBidi"/>
          <w:sz w:val="24"/>
          <w:szCs w:val="24"/>
        </w:rPr>
      </w:pPr>
      <w:r w:rsidRPr="00ED0A4E">
        <w:rPr>
          <w:rFonts w:asciiTheme="majorBidi" w:hAnsiTheme="majorBidi" w:cstheme="majorBidi"/>
          <w:sz w:val="24"/>
          <w:szCs w:val="24"/>
        </w:rPr>
        <w:t>8 febbraio 2001</w:t>
      </w:r>
    </w:p>
    <w:p w14:paraId="21A7D5D4" w14:textId="77777777" w:rsidR="00ED0A4E" w:rsidRPr="00ED0A4E" w:rsidRDefault="00ED0A4E" w:rsidP="00C9729F">
      <w:pPr>
        <w:spacing w:line="300" w:lineRule="exact"/>
        <w:jc w:val="center"/>
        <w:rPr>
          <w:rFonts w:asciiTheme="majorBidi" w:hAnsiTheme="majorBidi" w:cstheme="majorBidi"/>
          <w:sz w:val="24"/>
          <w:szCs w:val="24"/>
        </w:rPr>
      </w:pPr>
    </w:p>
    <w:p w14:paraId="07F5E38F" w14:textId="77777777" w:rsidR="00C9729F" w:rsidRPr="00ED0A4E" w:rsidRDefault="00C9729F" w:rsidP="00C9729F">
      <w:pPr>
        <w:autoSpaceDE w:val="0"/>
        <w:autoSpaceDN w:val="0"/>
        <w:adjustRightInd w:val="0"/>
        <w:spacing w:line="300" w:lineRule="exact"/>
        <w:rPr>
          <w:rFonts w:asciiTheme="majorBidi" w:hAnsiTheme="majorBidi" w:cstheme="majorBidi"/>
          <w:sz w:val="24"/>
          <w:szCs w:val="24"/>
          <w:lang w:eastAsia="it-IT"/>
        </w:rPr>
      </w:pPr>
    </w:p>
    <w:p w14:paraId="7F278B02" w14:textId="77777777" w:rsidR="00C9729F" w:rsidRPr="00ED0A4E" w:rsidRDefault="00C9729F" w:rsidP="00C9729F">
      <w:pPr>
        <w:autoSpaceDE w:val="0"/>
        <w:autoSpaceDN w:val="0"/>
        <w:adjustRightInd w:val="0"/>
        <w:spacing w:line="300" w:lineRule="exact"/>
        <w:rPr>
          <w:rFonts w:asciiTheme="majorBidi" w:hAnsiTheme="majorBidi" w:cstheme="majorBidi"/>
          <w:sz w:val="24"/>
          <w:szCs w:val="24"/>
          <w:lang w:eastAsia="it-IT"/>
        </w:rPr>
      </w:pPr>
      <w:r w:rsidRPr="00ED0A4E">
        <w:rPr>
          <w:rFonts w:asciiTheme="majorBidi" w:hAnsiTheme="majorBidi" w:cstheme="majorBidi"/>
          <w:sz w:val="24"/>
          <w:szCs w:val="24"/>
          <w:lang w:eastAsia="it-IT"/>
        </w:rPr>
        <w:t xml:space="preserve">A tutte le Assemblee Spirituali Nazionali </w:t>
      </w:r>
    </w:p>
    <w:p w14:paraId="384EE2D1" w14:textId="77777777" w:rsidR="00ED0A4E" w:rsidRPr="00ED0A4E" w:rsidRDefault="00ED0A4E" w:rsidP="00C9729F">
      <w:pPr>
        <w:autoSpaceDE w:val="0"/>
        <w:autoSpaceDN w:val="0"/>
        <w:adjustRightInd w:val="0"/>
        <w:spacing w:line="300" w:lineRule="exact"/>
        <w:rPr>
          <w:rFonts w:asciiTheme="majorBidi" w:hAnsiTheme="majorBidi" w:cstheme="majorBidi"/>
          <w:sz w:val="24"/>
          <w:szCs w:val="24"/>
          <w:lang w:eastAsia="it-IT"/>
        </w:rPr>
      </w:pPr>
    </w:p>
    <w:p w14:paraId="2B0CD66C" w14:textId="77777777" w:rsidR="00C9729F" w:rsidRPr="00ED0A4E" w:rsidRDefault="00C9729F" w:rsidP="00C9729F">
      <w:pPr>
        <w:autoSpaceDE w:val="0"/>
        <w:autoSpaceDN w:val="0"/>
        <w:adjustRightInd w:val="0"/>
        <w:spacing w:line="300" w:lineRule="exact"/>
        <w:rPr>
          <w:rFonts w:asciiTheme="majorBidi" w:hAnsiTheme="majorBidi" w:cstheme="majorBidi"/>
          <w:sz w:val="24"/>
          <w:szCs w:val="24"/>
          <w:lang w:eastAsia="it-IT"/>
        </w:rPr>
      </w:pPr>
      <w:r w:rsidRPr="00ED0A4E">
        <w:rPr>
          <w:rFonts w:asciiTheme="majorBidi" w:hAnsiTheme="majorBidi" w:cstheme="majorBidi"/>
          <w:sz w:val="24"/>
          <w:szCs w:val="24"/>
          <w:lang w:eastAsia="it-IT"/>
        </w:rPr>
        <w:t>Cari amici bahá’í,</w:t>
      </w:r>
    </w:p>
    <w:p w14:paraId="355EDF75" w14:textId="77777777" w:rsidR="00ED0A4E" w:rsidRPr="00ED0A4E" w:rsidRDefault="00ED0A4E" w:rsidP="00C9729F">
      <w:pPr>
        <w:autoSpaceDE w:val="0"/>
        <w:autoSpaceDN w:val="0"/>
        <w:adjustRightInd w:val="0"/>
        <w:spacing w:line="300" w:lineRule="exact"/>
        <w:rPr>
          <w:rFonts w:asciiTheme="majorBidi" w:hAnsiTheme="majorBidi" w:cstheme="majorBidi"/>
          <w:sz w:val="24"/>
          <w:szCs w:val="24"/>
          <w:lang w:eastAsia="it-IT"/>
        </w:rPr>
      </w:pPr>
    </w:p>
    <w:p w14:paraId="13AF5131" w14:textId="4F141F5A" w:rsidR="00ED0A4E" w:rsidRPr="00ED0A4E" w:rsidRDefault="00ED0A4E" w:rsidP="00C9729F">
      <w:pPr>
        <w:autoSpaceDE w:val="0"/>
        <w:autoSpaceDN w:val="0"/>
        <w:adjustRightInd w:val="0"/>
        <w:spacing w:line="300" w:lineRule="exact"/>
        <w:rPr>
          <w:rFonts w:asciiTheme="majorBidi" w:hAnsiTheme="majorBidi" w:cstheme="majorBidi"/>
          <w:sz w:val="24"/>
          <w:szCs w:val="24"/>
          <w:lang w:eastAsia="it-IT"/>
        </w:rPr>
      </w:pPr>
      <w:r w:rsidRPr="00ED0A4E">
        <w:rPr>
          <w:rFonts w:asciiTheme="majorBidi" w:hAnsiTheme="majorBidi" w:cstheme="majorBidi"/>
          <w:sz w:val="24"/>
          <w:szCs w:val="24"/>
          <w:lang w:eastAsia="it-IT"/>
        </w:rPr>
        <w:tab/>
        <w:t>Applicabilità delle Leggi e Ordinanze del Kitáb-i-Aqdas</w:t>
      </w:r>
    </w:p>
    <w:p w14:paraId="45602CBD" w14:textId="77777777" w:rsidR="00ED0A4E" w:rsidRPr="00ED0A4E" w:rsidRDefault="00ED0A4E" w:rsidP="00ED0A4E">
      <w:pPr>
        <w:spacing w:line="300" w:lineRule="exact"/>
        <w:jc w:val="both"/>
        <w:rPr>
          <w:rFonts w:asciiTheme="majorBidi" w:hAnsiTheme="majorBidi" w:cstheme="majorBidi"/>
          <w:sz w:val="24"/>
          <w:szCs w:val="24"/>
          <w:lang w:eastAsia="it-IT"/>
        </w:rPr>
      </w:pPr>
    </w:p>
    <w:p w14:paraId="268AA91B" w14:textId="12C3D169" w:rsidR="00C9729F" w:rsidRPr="00ED0A4E" w:rsidRDefault="00C9729F" w:rsidP="00ED0A4E">
      <w:pPr>
        <w:spacing w:line="300" w:lineRule="exact"/>
        <w:ind w:firstLine="708"/>
        <w:jc w:val="both"/>
        <w:rPr>
          <w:rFonts w:asciiTheme="majorBidi" w:hAnsiTheme="majorBidi" w:cstheme="majorBidi"/>
          <w:sz w:val="24"/>
          <w:szCs w:val="24"/>
          <w:lang w:eastAsia="it-IT"/>
        </w:rPr>
      </w:pPr>
      <w:r w:rsidRPr="00ED0A4E">
        <w:rPr>
          <w:rFonts w:asciiTheme="majorBidi" w:hAnsiTheme="majorBidi" w:cstheme="majorBidi"/>
          <w:sz w:val="24"/>
          <w:szCs w:val="24"/>
          <w:lang w:eastAsia="it-IT"/>
        </w:rPr>
        <w:t>Il 9 maggio 1993, a ciascuna Assemblea Spirituale Nazionale è stata inviata una copia di una lettera scritta all’Assemblea Spirituale Nazionale dell’Islanda il 9 giugno 1974, che elencava le leggi che in quel momento non erano obbligatorie per il mondo occidentale. La lettera di accompagnamento indicava che la legge dell’Ḥuqúqu’lláh era stata resa universalmente vincolante a Riḍván 1992. Il 28 dicembre 1999, la Casa Universale di Giustizia ha scritto ai bahá’í in tutto il mondo informandoli dell’applicazione universale dei restanti aspetti delle leggi della preghiera e del digiuno.</w:t>
      </w:r>
    </w:p>
    <w:p w14:paraId="3AC95BA5" w14:textId="77777777" w:rsidR="00ED0A4E" w:rsidRPr="00ED0A4E" w:rsidRDefault="00ED0A4E" w:rsidP="00ED0A4E">
      <w:pPr>
        <w:spacing w:line="300" w:lineRule="exact"/>
        <w:jc w:val="both"/>
        <w:rPr>
          <w:rFonts w:asciiTheme="majorBidi" w:hAnsiTheme="majorBidi" w:cstheme="majorBidi"/>
          <w:sz w:val="24"/>
          <w:szCs w:val="24"/>
          <w:lang w:eastAsia="it-IT"/>
        </w:rPr>
      </w:pPr>
    </w:p>
    <w:p w14:paraId="3086294E" w14:textId="3EC58698" w:rsidR="00C9729F" w:rsidRPr="00ED0A4E" w:rsidRDefault="00C9729F" w:rsidP="00ED0A4E">
      <w:pPr>
        <w:spacing w:line="300" w:lineRule="exact"/>
        <w:ind w:firstLine="708"/>
        <w:jc w:val="both"/>
        <w:rPr>
          <w:rFonts w:asciiTheme="majorBidi" w:hAnsiTheme="majorBidi" w:cstheme="majorBidi"/>
          <w:sz w:val="24"/>
          <w:szCs w:val="24"/>
          <w:lang w:eastAsia="it-IT"/>
        </w:rPr>
      </w:pPr>
      <w:r w:rsidRPr="00ED0A4E">
        <w:rPr>
          <w:rFonts w:asciiTheme="majorBidi" w:hAnsiTheme="majorBidi" w:cstheme="majorBidi"/>
          <w:sz w:val="24"/>
          <w:szCs w:val="24"/>
          <w:lang w:eastAsia="it-IT"/>
        </w:rPr>
        <w:t>Pertanto, per aggiornare le informazioni, ci è stato chiesto di inviarvi l’accluso elenco delle leggi non ancora universalmente applicate, in sostituzione di quello che vi è stato inviato nel maggio 1993.</w:t>
      </w:r>
    </w:p>
    <w:p w14:paraId="42A83048" w14:textId="77777777" w:rsidR="00ED0A4E" w:rsidRPr="00ED0A4E" w:rsidRDefault="00ED0A4E" w:rsidP="00ED0A4E">
      <w:pPr>
        <w:spacing w:line="300" w:lineRule="exact"/>
        <w:ind w:left="4248" w:firstLine="708"/>
        <w:jc w:val="center"/>
        <w:rPr>
          <w:rFonts w:asciiTheme="majorBidi" w:hAnsiTheme="majorBidi" w:cstheme="majorBidi"/>
          <w:sz w:val="24"/>
          <w:szCs w:val="24"/>
          <w:lang w:eastAsia="it-IT"/>
        </w:rPr>
      </w:pPr>
    </w:p>
    <w:p w14:paraId="25EB6D87" w14:textId="77777777" w:rsidR="00C9729F" w:rsidRPr="00ED0A4E" w:rsidRDefault="00C9729F" w:rsidP="00ED0A4E">
      <w:pPr>
        <w:spacing w:line="300" w:lineRule="exact"/>
        <w:ind w:left="4248" w:firstLine="708"/>
        <w:jc w:val="center"/>
        <w:rPr>
          <w:rFonts w:asciiTheme="majorBidi" w:hAnsiTheme="majorBidi" w:cstheme="majorBidi"/>
          <w:sz w:val="24"/>
          <w:szCs w:val="24"/>
        </w:rPr>
      </w:pPr>
      <w:r w:rsidRPr="00ED0A4E">
        <w:rPr>
          <w:rFonts w:asciiTheme="majorBidi" w:hAnsiTheme="majorBidi" w:cstheme="majorBidi"/>
          <w:sz w:val="24"/>
          <w:szCs w:val="24"/>
        </w:rPr>
        <w:t>Con amorevoli saluti bahá’í</w:t>
      </w:r>
    </w:p>
    <w:p w14:paraId="495120F5" w14:textId="77777777" w:rsidR="00ED0A4E" w:rsidRPr="00ED0A4E" w:rsidRDefault="00ED0A4E" w:rsidP="00ED0A4E">
      <w:pPr>
        <w:spacing w:line="300" w:lineRule="exact"/>
        <w:ind w:left="4956" w:firstLine="708"/>
        <w:jc w:val="center"/>
        <w:rPr>
          <w:rFonts w:asciiTheme="majorBidi" w:hAnsiTheme="majorBidi" w:cstheme="majorBidi"/>
          <w:sz w:val="24"/>
          <w:szCs w:val="24"/>
        </w:rPr>
      </w:pPr>
    </w:p>
    <w:p w14:paraId="53D5A5DD" w14:textId="77777777" w:rsidR="00C9729F" w:rsidRPr="00ED0A4E" w:rsidRDefault="00C9729F" w:rsidP="00ED0A4E">
      <w:pPr>
        <w:spacing w:line="300" w:lineRule="exact"/>
        <w:ind w:left="4956" w:firstLine="708"/>
        <w:jc w:val="center"/>
        <w:rPr>
          <w:rFonts w:asciiTheme="majorBidi" w:hAnsiTheme="majorBidi" w:cstheme="majorBidi"/>
          <w:sz w:val="24"/>
          <w:szCs w:val="24"/>
        </w:rPr>
      </w:pPr>
      <w:r w:rsidRPr="00ED0A4E">
        <w:rPr>
          <w:rFonts w:asciiTheme="majorBidi" w:hAnsiTheme="majorBidi" w:cstheme="majorBidi"/>
          <w:sz w:val="24"/>
          <w:szCs w:val="24"/>
        </w:rPr>
        <w:t>Per il Dipartimento della segreteria</w:t>
      </w:r>
    </w:p>
    <w:p w14:paraId="4648F69C" w14:textId="77777777" w:rsidR="00C9729F" w:rsidRPr="00911015" w:rsidRDefault="00C9729F" w:rsidP="00C9729F">
      <w:pPr>
        <w:autoSpaceDE w:val="0"/>
        <w:autoSpaceDN w:val="0"/>
        <w:adjustRightInd w:val="0"/>
        <w:spacing w:line="300" w:lineRule="exact"/>
        <w:rPr>
          <w:rFonts w:asciiTheme="majorBidi" w:hAnsiTheme="majorBidi" w:cstheme="majorBidi"/>
          <w:sz w:val="23"/>
          <w:szCs w:val="23"/>
          <w:lang w:eastAsia="it-IT"/>
        </w:rPr>
      </w:pPr>
    </w:p>
    <w:p w14:paraId="7829AB04" w14:textId="77777777" w:rsidR="00C9729F" w:rsidRPr="00911015" w:rsidRDefault="00C9729F" w:rsidP="00C9729F">
      <w:pPr>
        <w:autoSpaceDE w:val="0"/>
        <w:autoSpaceDN w:val="0"/>
        <w:adjustRightInd w:val="0"/>
        <w:spacing w:line="300" w:lineRule="exact"/>
        <w:rPr>
          <w:rFonts w:asciiTheme="majorBidi" w:hAnsiTheme="majorBidi" w:cstheme="majorBidi"/>
          <w:sz w:val="23"/>
          <w:szCs w:val="23"/>
          <w:lang w:eastAsia="it-IT"/>
        </w:rPr>
      </w:pPr>
    </w:p>
    <w:p w14:paraId="7192AB51" w14:textId="77777777" w:rsidR="00C9729F" w:rsidRPr="00ED0A4E" w:rsidRDefault="00C9729F" w:rsidP="00ED0A4E">
      <w:pPr>
        <w:autoSpaceDE w:val="0"/>
        <w:autoSpaceDN w:val="0"/>
        <w:adjustRightInd w:val="0"/>
        <w:spacing w:line="276" w:lineRule="auto"/>
        <w:jc w:val="center"/>
        <w:rPr>
          <w:rFonts w:asciiTheme="majorBidi" w:hAnsiTheme="majorBidi" w:cstheme="majorBidi"/>
          <w:i/>
          <w:iCs/>
          <w:sz w:val="24"/>
          <w:szCs w:val="23"/>
          <w:u w:val="single"/>
          <w:lang w:eastAsia="it-IT"/>
        </w:rPr>
      </w:pPr>
      <w:r w:rsidRPr="00ED0A4E">
        <w:rPr>
          <w:rFonts w:asciiTheme="majorBidi" w:hAnsiTheme="majorBidi" w:cstheme="majorBidi"/>
          <w:i/>
          <w:iCs/>
          <w:sz w:val="24"/>
          <w:szCs w:val="23"/>
          <w:u w:val="single"/>
          <w:lang w:eastAsia="it-IT"/>
        </w:rPr>
        <w:t>LEGGI DEL KITÁB-I-AQDAS NON ANCORA UNIVERSALMENTE APPLICATE</w:t>
      </w:r>
    </w:p>
    <w:p w14:paraId="22C32DCD" w14:textId="77777777" w:rsidR="00C9729F" w:rsidRPr="00ED0A4E" w:rsidRDefault="00C9729F" w:rsidP="00ED0A4E">
      <w:pPr>
        <w:autoSpaceDE w:val="0"/>
        <w:autoSpaceDN w:val="0"/>
        <w:adjustRightInd w:val="0"/>
        <w:spacing w:line="276" w:lineRule="auto"/>
        <w:jc w:val="center"/>
        <w:rPr>
          <w:rFonts w:asciiTheme="majorBidi" w:hAnsiTheme="majorBidi" w:cstheme="majorBidi"/>
          <w:sz w:val="24"/>
          <w:szCs w:val="23"/>
          <w:lang w:eastAsia="it-IT"/>
        </w:rPr>
      </w:pPr>
      <w:r w:rsidRPr="00ED0A4E">
        <w:rPr>
          <w:rFonts w:asciiTheme="majorBidi" w:hAnsiTheme="majorBidi" w:cstheme="majorBidi"/>
          <w:sz w:val="24"/>
          <w:szCs w:val="23"/>
          <w:lang w:eastAsia="it-IT"/>
        </w:rPr>
        <w:t>28 dicembre 1999</w:t>
      </w:r>
    </w:p>
    <w:p w14:paraId="34C0D030" w14:textId="77777777" w:rsidR="00C9729F" w:rsidRPr="00ED0A4E" w:rsidRDefault="00C9729F" w:rsidP="00ED0A4E">
      <w:pPr>
        <w:autoSpaceDE w:val="0"/>
        <w:autoSpaceDN w:val="0"/>
        <w:adjustRightInd w:val="0"/>
        <w:spacing w:line="276" w:lineRule="auto"/>
        <w:rPr>
          <w:rFonts w:asciiTheme="majorBidi" w:hAnsiTheme="majorBidi" w:cstheme="majorBidi"/>
          <w:sz w:val="24"/>
          <w:szCs w:val="23"/>
          <w:lang w:eastAsia="it-IT"/>
        </w:rPr>
      </w:pPr>
    </w:p>
    <w:p w14:paraId="63FF9C8C" w14:textId="60AF5610" w:rsidR="00C9729F" w:rsidRPr="00ED0A4E" w:rsidRDefault="00C9729F" w:rsidP="00ED0A4E">
      <w:pPr>
        <w:spacing w:line="276" w:lineRule="auto"/>
        <w:jc w:val="both"/>
        <w:rPr>
          <w:rFonts w:asciiTheme="majorBidi" w:hAnsiTheme="majorBidi" w:cstheme="majorBidi"/>
          <w:color w:val="000000"/>
          <w:sz w:val="24"/>
          <w:szCs w:val="23"/>
        </w:rPr>
      </w:pPr>
      <w:r w:rsidRPr="00ED0A4E">
        <w:rPr>
          <w:rFonts w:asciiTheme="majorBidi" w:hAnsiTheme="majorBidi" w:cstheme="majorBidi"/>
          <w:color w:val="000000"/>
          <w:sz w:val="24"/>
          <w:szCs w:val="23"/>
        </w:rPr>
        <w:t>In seguito all’applicazione universale delle leggi sulla preghiera, sul digiuno e sulla recitazione del Più Grande Nome, la Casa Universale di Giustizia ha fornito il seguente elenco di leggi annotate nella sinossi e codificazione del Kitáb-i-Aqdas che al momento non sono universal</w:t>
      </w:r>
      <w:r w:rsidR="00ED0A4E" w:rsidRPr="00ED0A4E">
        <w:rPr>
          <w:rFonts w:asciiTheme="majorBidi" w:hAnsiTheme="majorBidi" w:cstheme="majorBidi"/>
          <w:color w:val="000000"/>
          <w:sz w:val="24"/>
          <w:szCs w:val="23"/>
        </w:rPr>
        <w:t>mente vincolanti</w:t>
      </w:r>
      <w:r w:rsidRPr="00ED0A4E">
        <w:rPr>
          <w:rFonts w:asciiTheme="majorBidi" w:hAnsiTheme="majorBidi" w:cstheme="majorBidi"/>
          <w:color w:val="000000"/>
          <w:sz w:val="24"/>
          <w:szCs w:val="23"/>
        </w:rPr>
        <w:t xml:space="preserve"> per gli amici. I numeri delle sezioni sono indicati per facilità di riferimento.</w:t>
      </w:r>
    </w:p>
    <w:p w14:paraId="41858A64" w14:textId="77777777" w:rsidR="00ED0A4E" w:rsidRPr="00ED0A4E" w:rsidRDefault="00ED0A4E" w:rsidP="00ED0A4E">
      <w:pPr>
        <w:spacing w:line="276" w:lineRule="auto"/>
        <w:jc w:val="both"/>
        <w:rPr>
          <w:rFonts w:asciiTheme="majorBidi" w:hAnsiTheme="majorBidi" w:cstheme="majorBidi"/>
          <w:sz w:val="24"/>
          <w:szCs w:val="23"/>
          <w:lang w:eastAsia="it-IT"/>
        </w:rPr>
      </w:pPr>
    </w:p>
    <w:p w14:paraId="6025A244" w14:textId="659B4BDA"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IV.C.1.i </w:t>
      </w:r>
      <w:r w:rsidR="00ED0A4E" w:rsidRPr="00ED0A4E">
        <w:rPr>
          <w:rFonts w:asciiTheme="majorBidi" w:hAnsiTheme="majorBidi" w:cstheme="majorBidi"/>
          <w:sz w:val="24"/>
          <w:szCs w:val="23"/>
        </w:rPr>
        <w:tab/>
      </w:r>
      <w:r w:rsidRPr="00ED0A4E">
        <w:rPr>
          <w:rFonts w:asciiTheme="majorBidi" w:hAnsiTheme="majorBidi" w:cstheme="majorBidi"/>
          <w:sz w:val="24"/>
          <w:szCs w:val="23"/>
        </w:rPr>
        <w:t>Le leggi che regolano il fidanzamento.</w:t>
      </w:r>
    </w:p>
    <w:p w14:paraId="1ECEEAC3" w14:textId="11B9D14D"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IV.C.1.j </w:t>
      </w:r>
      <w:r w:rsidR="00ED0A4E" w:rsidRPr="00ED0A4E">
        <w:rPr>
          <w:rFonts w:asciiTheme="majorBidi" w:hAnsiTheme="majorBidi" w:cstheme="majorBidi"/>
          <w:sz w:val="24"/>
          <w:szCs w:val="23"/>
        </w:rPr>
        <w:tab/>
      </w:r>
      <w:r w:rsidRPr="00ED0A4E">
        <w:rPr>
          <w:rFonts w:asciiTheme="majorBidi" w:hAnsiTheme="majorBidi" w:cstheme="majorBidi"/>
          <w:sz w:val="24"/>
          <w:szCs w:val="23"/>
        </w:rPr>
        <w:t>La legge riguardante il pagamento di una dote da parte dello sposo alla sposa al momento del matrimonio.</w:t>
      </w:r>
    </w:p>
    <w:p w14:paraId="209F280E" w14:textId="67A2885F" w:rsidR="00ED0A4E"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IV.C.1.l </w:t>
      </w:r>
      <w:r w:rsidR="00ED0A4E" w:rsidRPr="00ED0A4E">
        <w:rPr>
          <w:rFonts w:asciiTheme="majorBidi" w:hAnsiTheme="majorBidi" w:cstheme="majorBidi"/>
          <w:sz w:val="24"/>
          <w:szCs w:val="23"/>
        </w:rPr>
        <w:tab/>
      </w:r>
      <w:r w:rsidR="00ED0A4E" w:rsidRPr="00ED0A4E">
        <w:rPr>
          <w:rFonts w:asciiTheme="majorBidi" w:hAnsiTheme="majorBidi" w:cstheme="majorBidi"/>
          <w:sz w:val="24"/>
          <w:szCs w:val="23"/>
        </w:rPr>
        <w:t>Le leggi relative ai viaggi di un marito lontano che lo portano lontano dalla moglie.</w:t>
      </w:r>
    </w:p>
    <w:p w14:paraId="03110F70" w14:textId="74445876"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&amp; m </w:t>
      </w:r>
      <w:r w:rsidR="00ED0A4E" w:rsidRPr="00ED0A4E">
        <w:rPr>
          <w:rFonts w:asciiTheme="majorBidi" w:hAnsiTheme="majorBidi" w:cstheme="majorBidi"/>
          <w:sz w:val="24"/>
          <w:szCs w:val="23"/>
        </w:rPr>
        <w:tab/>
      </w:r>
    </w:p>
    <w:p w14:paraId="6156A529" w14:textId="5CAD4F0B" w:rsidR="00ED0A4E"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IV.C.1.n </w:t>
      </w:r>
      <w:r w:rsidR="00ED0A4E" w:rsidRPr="00ED0A4E">
        <w:rPr>
          <w:rFonts w:asciiTheme="majorBidi" w:hAnsiTheme="majorBidi" w:cstheme="majorBidi"/>
          <w:sz w:val="24"/>
          <w:szCs w:val="23"/>
        </w:rPr>
        <w:tab/>
      </w:r>
      <w:r w:rsidR="00ED0A4E" w:rsidRPr="00ED0A4E">
        <w:rPr>
          <w:rFonts w:asciiTheme="majorBidi" w:hAnsiTheme="majorBidi" w:cstheme="majorBidi"/>
          <w:sz w:val="24"/>
          <w:szCs w:val="23"/>
        </w:rPr>
        <w:t>Le leggi relative alla verginità della moglie.</w:t>
      </w:r>
    </w:p>
    <w:p w14:paraId="4089F1F0" w14:textId="367B7551"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&amp; o </w:t>
      </w:r>
    </w:p>
    <w:p w14:paraId="07134B27" w14:textId="21A49899"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IV.C.2.b </w:t>
      </w:r>
      <w:r w:rsidR="00ED0A4E">
        <w:rPr>
          <w:rFonts w:asciiTheme="majorBidi" w:hAnsiTheme="majorBidi" w:cstheme="majorBidi"/>
          <w:sz w:val="24"/>
          <w:szCs w:val="23"/>
        </w:rPr>
        <w:tab/>
      </w:r>
      <w:r w:rsidRPr="00ED0A4E">
        <w:rPr>
          <w:rFonts w:asciiTheme="majorBidi" w:hAnsiTheme="majorBidi" w:cstheme="majorBidi"/>
          <w:sz w:val="24"/>
          <w:szCs w:val="23"/>
        </w:rPr>
        <w:t>La parte della legge del divorzio relativa alle ammende da pagare alla Casa di Giustizia.</w:t>
      </w:r>
    </w:p>
    <w:p w14:paraId="0A36BBD0" w14:textId="427EDD2E"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lastRenderedPageBreak/>
        <w:t xml:space="preserve">IV.C.3 </w:t>
      </w:r>
      <w:r w:rsidR="00ED0A4E">
        <w:rPr>
          <w:rFonts w:asciiTheme="majorBidi" w:hAnsiTheme="majorBidi" w:cstheme="majorBidi"/>
          <w:sz w:val="24"/>
          <w:szCs w:val="23"/>
        </w:rPr>
        <w:tab/>
      </w:r>
      <w:r w:rsidRPr="00ED0A4E">
        <w:rPr>
          <w:rFonts w:asciiTheme="majorBidi" w:hAnsiTheme="majorBidi" w:cstheme="majorBidi"/>
          <w:sz w:val="24"/>
          <w:szCs w:val="23"/>
        </w:rPr>
        <w:t>La legge dell’eredità. Per ora normalmente ricade sotto le leggi civili sulla successione ab intestato.</w:t>
      </w:r>
    </w:p>
    <w:p w14:paraId="70CFC738" w14:textId="17F7FF03"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IV.D.1.a </w:t>
      </w:r>
      <w:r w:rsidR="00ED0A4E">
        <w:rPr>
          <w:rFonts w:asciiTheme="majorBidi" w:hAnsiTheme="majorBidi" w:cstheme="majorBidi"/>
          <w:sz w:val="24"/>
          <w:szCs w:val="23"/>
        </w:rPr>
        <w:tab/>
      </w:r>
      <w:r w:rsidRPr="00ED0A4E">
        <w:rPr>
          <w:rFonts w:asciiTheme="majorBidi" w:hAnsiTheme="majorBidi" w:cstheme="majorBidi"/>
          <w:sz w:val="24"/>
          <w:szCs w:val="23"/>
        </w:rPr>
        <w:t>La legge del pellegrinaggio.</w:t>
      </w:r>
    </w:p>
    <w:p w14:paraId="6E1A9312" w14:textId="1FFECCA4"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IV.D.1.d </w:t>
      </w:r>
      <w:r w:rsidR="00ED0A4E">
        <w:rPr>
          <w:rFonts w:asciiTheme="majorBidi" w:hAnsiTheme="majorBidi" w:cstheme="majorBidi"/>
          <w:sz w:val="24"/>
          <w:szCs w:val="23"/>
        </w:rPr>
        <w:tab/>
      </w:r>
      <w:r w:rsidRPr="00ED0A4E">
        <w:rPr>
          <w:rFonts w:asciiTheme="majorBidi" w:hAnsiTheme="majorBidi" w:cstheme="majorBidi"/>
          <w:sz w:val="24"/>
          <w:szCs w:val="23"/>
        </w:rPr>
        <w:t>La legge del Mashriqu’l-Adhkár sta gradualmente entrando in vigore.</w:t>
      </w:r>
    </w:p>
    <w:p w14:paraId="0C8910C1" w14:textId="0CFD6C0C"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IV.D.1.f </w:t>
      </w:r>
      <w:r w:rsidR="00ED0A4E">
        <w:rPr>
          <w:rFonts w:asciiTheme="majorBidi" w:hAnsiTheme="majorBidi" w:cstheme="majorBidi"/>
          <w:sz w:val="24"/>
          <w:szCs w:val="23"/>
        </w:rPr>
        <w:tab/>
      </w:r>
      <w:r w:rsidRPr="00ED0A4E">
        <w:rPr>
          <w:rFonts w:asciiTheme="majorBidi" w:hAnsiTheme="majorBidi" w:cstheme="majorBidi"/>
          <w:sz w:val="24"/>
          <w:szCs w:val="23"/>
        </w:rPr>
        <w:t>Gli amici occidentali celebreranno le festività bahá’í nelle loro ricorrenze secondo il calendario gregoriano fino al momento in cui la Casa Universale di Giustizia non riterrà opportuno approvare la legislazione suppletiva necessaria per la pie</w:t>
      </w:r>
      <w:r w:rsidR="00ED0A4E" w:rsidRPr="00ED0A4E">
        <w:rPr>
          <w:rFonts w:asciiTheme="majorBidi" w:hAnsiTheme="majorBidi" w:cstheme="majorBidi"/>
          <w:sz w:val="24"/>
          <w:szCs w:val="23"/>
        </w:rPr>
        <w:t xml:space="preserve">na attuazione del </w:t>
      </w:r>
      <w:r w:rsidRPr="00ED0A4E">
        <w:rPr>
          <w:rFonts w:asciiTheme="majorBidi" w:hAnsiTheme="majorBidi" w:cstheme="majorBidi"/>
          <w:sz w:val="24"/>
          <w:szCs w:val="23"/>
        </w:rPr>
        <w:t>calendario Badí’.</w:t>
      </w:r>
    </w:p>
    <w:p w14:paraId="01546F4B" w14:textId="7126D23C"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IV.D.1.j </w:t>
      </w:r>
      <w:r w:rsidR="00ED0A4E">
        <w:rPr>
          <w:rFonts w:asciiTheme="majorBidi" w:hAnsiTheme="majorBidi" w:cstheme="majorBidi"/>
          <w:sz w:val="24"/>
          <w:szCs w:val="23"/>
        </w:rPr>
        <w:tab/>
      </w:r>
      <w:r w:rsidRPr="00ED0A4E">
        <w:rPr>
          <w:rFonts w:asciiTheme="majorBidi" w:hAnsiTheme="majorBidi" w:cstheme="majorBidi"/>
          <w:sz w:val="24"/>
          <w:szCs w:val="23"/>
        </w:rPr>
        <w:t>L’età della maturità si applica per ora solo ai doveri religiosi bahá’í. Per altre questioni è soggetta al diritto civile di ciascun Paese. Per il momento l’età della maturità amministrativa è stata fissata nella comunità bahá’í a 21 anni.</w:t>
      </w:r>
    </w:p>
    <w:p w14:paraId="1F3E460C" w14:textId="795C4BBE"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IV.Dk </w:t>
      </w:r>
      <w:r w:rsidR="00ED0A4E">
        <w:rPr>
          <w:rFonts w:asciiTheme="majorBidi" w:hAnsiTheme="majorBidi" w:cstheme="majorBidi"/>
          <w:sz w:val="24"/>
          <w:szCs w:val="23"/>
        </w:rPr>
        <w:tab/>
      </w:r>
      <w:r w:rsidRPr="00ED0A4E">
        <w:rPr>
          <w:rFonts w:asciiTheme="majorBidi" w:hAnsiTheme="majorBidi" w:cstheme="majorBidi"/>
          <w:sz w:val="24"/>
          <w:szCs w:val="23"/>
        </w:rPr>
        <w:t>Per la sepoltura dei defunti gli unici requisiti ora obbligatori in Occidente sono seppellire la salma (non cremarla), non trasportarla per più di un’ora di viaggio dal luogo della morte e recitare la preghiera per i defunti, se la persona deceduta è un credente di età superiore ai 15 anni.</w:t>
      </w:r>
    </w:p>
    <w:p w14:paraId="3311FDDF" w14:textId="64D2B347"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IV.D.1.p </w:t>
      </w:r>
      <w:r w:rsidR="00ED0A4E">
        <w:rPr>
          <w:rFonts w:asciiTheme="majorBidi" w:hAnsiTheme="majorBidi" w:cstheme="majorBidi"/>
          <w:sz w:val="24"/>
          <w:szCs w:val="23"/>
        </w:rPr>
        <w:tab/>
      </w:r>
      <w:r w:rsidRPr="00ED0A4E">
        <w:rPr>
          <w:rFonts w:asciiTheme="majorBidi" w:hAnsiTheme="majorBidi" w:cstheme="majorBidi"/>
          <w:sz w:val="24"/>
          <w:szCs w:val="23"/>
        </w:rPr>
        <w:t>La legge della decima.</w:t>
      </w:r>
    </w:p>
    <w:p w14:paraId="54452C3D" w14:textId="0234A35B"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IV.D.l.r </w:t>
      </w:r>
      <w:r w:rsidR="00ED0A4E">
        <w:rPr>
          <w:rFonts w:asciiTheme="majorBidi" w:hAnsiTheme="majorBidi" w:cstheme="majorBidi"/>
          <w:sz w:val="24"/>
          <w:szCs w:val="23"/>
        </w:rPr>
        <w:tab/>
      </w:r>
      <w:r w:rsidRPr="00ED0A4E">
        <w:rPr>
          <w:rFonts w:asciiTheme="majorBidi" w:hAnsiTheme="majorBidi" w:cstheme="majorBidi"/>
          <w:sz w:val="24"/>
          <w:szCs w:val="23"/>
        </w:rPr>
        <w:t>La legge relativa alla caccia degli animali.</w:t>
      </w:r>
    </w:p>
    <w:p w14:paraId="136E05E6" w14:textId="77777777" w:rsid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IV.D.1.t, </w:t>
      </w:r>
      <w:r w:rsidR="00ED0A4E">
        <w:rPr>
          <w:rFonts w:asciiTheme="majorBidi" w:hAnsiTheme="majorBidi" w:cstheme="majorBidi"/>
          <w:sz w:val="24"/>
          <w:szCs w:val="23"/>
        </w:rPr>
        <w:tab/>
      </w:r>
      <w:r w:rsidR="00ED0A4E" w:rsidRPr="00ED0A4E">
        <w:rPr>
          <w:rFonts w:asciiTheme="majorBidi" w:hAnsiTheme="majorBidi" w:cstheme="majorBidi"/>
          <w:sz w:val="24"/>
          <w:szCs w:val="23"/>
        </w:rPr>
        <w:t>Le leggi relative al ritrovamento degli oggetti smarriti, alla disposizione dei tesori</w:t>
      </w:r>
    </w:p>
    <w:p w14:paraId="386B9780" w14:textId="052D8DA7" w:rsidR="00ED0A4E" w:rsidRDefault="00ED0A4E" w:rsidP="00ED0A4E">
      <w:pPr>
        <w:autoSpaceDE w:val="0"/>
        <w:autoSpaceDN w:val="0"/>
        <w:adjustRightInd w:val="0"/>
        <w:spacing w:line="276" w:lineRule="auto"/>
        <w:ind w:left="1416" w:hanging="1019"/>
        <w:rPr>
          <w:rFonts w:asciiTheme="majorBidi" w:hAnsiTheme="majorBidi" w:cstheme="majorBidi"/>
          <w:sz w:val="24"/>
          <w:szCs w:val="23"/>
        </w:rPr>
      </w:pPr>
      <w:r w:rsidRPr="00ED0A4E">
        <w:rPr>
          <w:rFonts w:asciiTheme="majorBidi" w:hAnsiTheme="majorBidi" w:cstheme="majorBidi"/>
          <w:sz w:val="24"/>
          <w:szCs w:val="23"/>
        </w:rPr>
        <w:t>u, v &amp; w</w:t>
      </w:r>
      <w:r>
        <w:rPr>
          <w:rFonts w:asciiTheme="majorBidi" w:hAnsiTheme="majorBidi" w:cstheme="majorBidi"/>
          <w:sz w:val="24"/>
          <w:szCs w:val="23"/>
        </w:rPr>
        <w:tab/>
        <w:t xml:space="preserve"> </w:t>
      </w:r>
      <w:r w:rsidRPr="00ED0A4E">
        <w:rPr>
          <w:rFonts w:asciiTheme="majorBidi" w:hAnsiTheme="majorBidi" w:cstheme="majorBidi"/>
          <w:sz w:val="24"/>
          <w:szCs w:val="23"/>
        </w:rPr>
        <w:t>ritrovati, alla disposizione degli oggetti tenuti in cus</w:t>
      </w:r>
      <w:r>
        <w:rPr>
          <w:rFonts w:asciiTheme="majorBidi" w:hAnsiTheme="majorBidi" w:cstheme="majorBidi"/>
          <w:sz w:val="24"/>
          <w:szCs w:val="23"/>
        </w:rPr>
        <w:t xml:space="preserve">todia e ai risarcimenti per gli </w:t>
      </w:r>
      <w:r w:rsidRPr="00ED0A4E">
        <w:rPr>
          <w:rFonts w:asciiTheme="majorBidi" w:hAnsiTheme="majorBidi" w:cstheme="majorBidi"/>
          <w:sz w:val="24"/>
          <w:szCs w:val="23"/>
        </w:rPr>
        <w:t>omicidi colposi sono tutte previste per un futuro stato della società. Queste questioni sono in genere contemplate dal diritto civile dei vari Paesi.</w:t>
      </w:r>
    </w:p>
    <w:p w14:paraId="397F0D40" w14:textId="77777777" w:rsid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IV.D.1.y,</w:t>
      </w:r>
      <w:r w:rsidR="00ED0A4E">
        <w:rPr>
          <w:rFonts w:asciiTheme="majorBidi" w:hAnsiTheme="majorBidi" w:cstheme="majorBidi"/>
          <w:sz w:val="24"/>
          <w:szCs w:val="23"/>
        </w:rPr>
        <w:tab/>
      </w:r>
      <w:r w:rsidR="00ED0A4E" w:rsidRPr="00ED0A4E">
        <w:rPr>
          <w:rFonts w:asciiTheme="majorBidi" w:hAnsiTheme="majorBidi" w:cstheme="majorBidi"/>
          <w:sz w:val="24"/>
          <w:szCs w:val="23"/>
        </w:rPr>
        <w:t>L’incendio doloso, l’adulterio, l’omicidio e il furto sono tutti vietati ai bahá’</w:t>
      </w:r>
      <w:r w:rsidR="00ED0A4E">
        <w:rPr>
          <w:rFonts w:asciiTheme="majorBidi" w:hAnsiTheme="majorBidi" w:cstheme="majorBidi"/>
          <w:sz w:val="24"/>
          <w:szCs w:val="23"/>
        </w:rPr>
        <w:t>í, ma le</w:t>
      </w:r>
    </w:p>
    <w:p w14:paraId="2CB19487" w14:textId="23EA5E77" w:rsidR="00ED0A4E" w:rsidRDefault="00ED0A4E"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xiv, xv, </w:t>
      </w:r>
      <w:r>
        <w:rPr>
          <w:rFonts w:asciiTheme="majorBidi" w:hAnsiTheme="majorBidi" w:cstheme="majorBidi"/>
          <w:sz w:val="24"/>
          <w:szCs w:val="23"/>
        </w:rPr>
        <w:tab/>
      </w:r>
      <w:r w:rsidRPr="00ED0A4E">
        <w:rPr>
          <w:rFonts w:asciiTheme="majorBidi" w:hAnsiTheme="majorBidi" w:cstheme="majorBidi"/>
          <w:sz w:val="24"/>
          <w:szCs w:val="23"/>
        </w:rPr>
        <w:t>pene</w:t>
      </w:r>
      <w:r>
        <w:rPr>
          <w:rFonts w:asciiTheme="majorBidi" w:hAnsiTheme="majorBidi" w:cstheme="majorBidi"/>
          <w:sz w:val="24"/>
          <w:szCs w:val="23"/>
        </w:rPr>
        <w:t xml:space="preserve"> </w:t>
      </w:r>
      <w:r w:rsidRPr="00ED0A4E">
        <w:rPr>
          <w:rFonts w:asciiTheme="majorBidi" w:hAnsiTheme="majorBidi" w:cstheme="majorBidi"/>
          <w:sz w:val="24"/>
          <w:szCs w:val="23"/>
        </w:rPr>
        <w:t>prescritte nel Kitáb-i-Aqdas sono state previste per un futuro stato della società.</w:t>
      </w:r>
    </w:p>
    <w:p w14:paraId="4D51EED1" w14:textId="7B05F09B" w:rsid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xvi &amp; </w:t>
      </w:r>
      <w:r w:rsidR="00ED0A4E">
        <w:rPr>
          <w:rFonts w:asciiTheme="majorBidi" w:hAnsiTheme="majorBidi" w:cstheme="majorBidi"/>
          <w:sz w:val="24"/>
          <w:szCs w:val="23"/>
        </w:rPr>
        <w:tab/>
      </w:r>
      <w:r w:rsidR="00ED0A4E" w:rsidRPr="00ED0A4E">
        <w:rPr>
          <w:rFonts w:asciiTheme="majorBidi" w:hAnsiTheme="majorBidi" w:cstheme="majorBidi"/>
          <w:sz w:val="24"/>
          <w:szCs w:val="23"/>
        </w:rPr>
        <w:t>Queste questioni sono in genere contemplate dal diritto civile dei vari Paesi.</w:t>
      </w:r>
    </w:p>
    <w:p w14:paraId="47BB9A6D" w14:textId="6D7DED3D"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xvii </w:t>
      </w:r>
    </w:p>
    <w:p w14:paraId="5FF00FCD" w14:textId="77777777" w:rsid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IV.D.1.y, </w:t>
      </w:r>
      <w:r w:rsidR="00ED0A4E">
        <w:rPr>
          <w:rFonts w:asciiTheme="majorBidi" w:hAnsiTheme="majorBidi" w:cstheme="majorBidi"/>
          <w:sz w:val="24"/>
          <w:szCs w:val="23"/>
        </w:rPr>
        <w:tab/>
      </w:r>
      <w:r w:rsidR="00ED0A4E" w:rsidRPr="00ED0A4E">
        <w:rPr>
          <w:rFonts w:asciiTheme="majorBidi" w:hAnsiTheme="majorBidi" w:cstheme="majorBidi"/>
          <w:sz w:val="24"/>
          <w:szCs w:val="23"/>
        </w:rPr>
        <w:t>Le leggi che vietano l’uso di certi tipi di vasche che abitualmente si trovavano</w:t>
      </w:r>
      <w:r w:rsidR="00ED0A4E">
        <w:rPr>
          <w:rFonts w:asciiTheme="majorBidi" w:hAnsiTheme="majorBidi" w:cstheme="majorBidi"/>
          <w:sz w:val="24"/>
          <w:szCs w:val="23"/>
        </w:rPr>
        <w:t xml:space="preserve"> </w:t>
      </w:r>
      <w:r w:rsidR="00ED0A4E" w:rsidRPr="00ED0A4E">
        <w:rPr>
          <w:rFonts w:asciiTheme="majorBidi" w:hAnsiTheme="majorBidi" w:cstheme="majorBidi"/>
          <w:sz w:val="24"/>
          <w:szCs w:val="23"/>
        </w:rPr>
        <w:t xml:space="preserve">nei </w:t>
      </w:r>
    </w:p>
    <w:p w14:paraId="0BF1908F" w14:textId="77777777" w:rsidR="00ED0A4E" w:rsidRDefault="00ED0A4E"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X</w:t>
      </w:r>
      <w:r w:rsidRPr="00ED0A4E">
        <w:rPr>
          <w:rFonts w:asciiTheme="majorBidi" w:hAnsiTheme="majorBidi" w:cstheme="majorBidi"/>
          <w:sz w:val="24"/>
          <w:szCs w:val="23"/>
        </w:rPr>
        <w:t>xv</w:t>
      </w:r>
      <w:r>
        <w:rPr>
          <w:rFonts w:asciiTheme="majorBidi" w:hAnsiTheme="majorBidi" w:cstheme="majorBidi"/>
          <w:sz w:val="24"/>
          <w:szCs w:val="23"/>
        </w:rPr>
        <w:t>,</w:t>
      </w:r>
      <w:r>
        <w:rPr>
          <w:rFonts w:asciiTheme="majorBidi" w:hAnsiTheme="majorBidi" w:cstheme="majorBidi"/>
          <w:sz w:val="24"/>
          <w:szCs w:val="23"/>
        </w:rPr>
        <w:tab/>
      </w:r>
      <w:r w:rsidRPr="00ED0A4E">
        <w:rPr>
          <w:rFonts w:asciiTheme="majorBidi" w:hAnsiTheme="majorBidi" w:cstheme="majorBidi"/>
          <w:sz w:val="24"/>
          <w:szCs w:val="23"/>
        </w:rPr>
        <w:t xml:space="preserve"> </w:t>
      </w:r>
      <w:r w:rsidRPr="00ED0A4E">
        <w:rPr>
          <w:rFonts w:asciiTheme="majorBidi" w:hAnsiTheme="majorBidi" w:cstheme="majorBidi"/>
          <w:sz w:val="24"/>
          <w:szCs w:val="23"/>
        </w:rPr>
        <w:t>bagni pubblici persiani</w:t>
      </w:r>
      <w:r>
        <w:rPr>
          <w:rFonts w:asciiTheme="majorBidi" w:hAnsiTheme="majorBidi" w:cstheme="majorBidi"/>
          <w:sz w:val="24"/>
          <w:szCs w:val="23"/>
        </w:rPr>
        <w:t xml:space="preserve"> </w:t>
      </w:r>
      <w:r w:rsidRPr="00ED0A4E">
        <w:rPr>
          <w:rFonts w:asciiTheme="majorBidi" w:hAnsiTheme="majorBidi" w:cstheme="majorBidi"/>
          <w:sz w:val="24"/>
          <w:szCs w:val="23"/>
        </w:rPr>
        <w:t xml:space="preserve">l’immersione delle mani nei cibi, la rasatura della testa e </w:t>
      </w:r>
    </w:p>
    <w:p w14:paraId="69736B8B" w14:textId="5F683299" w:rsidR="00ED0A4E" w:rsidRPr="00ED0A4E" w:rsidRDefault="00ED0A4E"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xxx, </w:t>
      </w:r>
      <w:r>
        <w:rPr>
          <w:rFonts w:asciiTheme="majorBidi" w:hAnsiTheme="majorBidi" w:cstheme="majorBidi"/>
          <w:sz w:val="24"/>
          <w:szCs w:val="23"/>
        </w:rPr>
        <w:tab/>
      </w:r>
      <w:r w:rsidRPr="00ED0A4E">
        <w:rPr>
          <w:rFonts w:asciiTheme="majorBidi" w:hAnsiTheme="majorBidi" w:cstheme="majorBidi"/>
          <w:sz w:val="24"/>
          <w:szCs w:val="23"/>
        </w:rPr>
        <w:t>crescita dei capelli degli uomini sotto il lobo dell’orecchio.</w:t>
      </w:r>
    </w:p>
    <w:p w14:paraId="34EF8B5E" w14:textId="77777777" w:rsid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xxxi &amp; </w:t>
      </w:r>
    </w:p>
    <w:p w14:paraId="03202470" w14:textId="22BA4C46" w:rsidR="00C9729F" w:rsidRPr="00ED0A4E" w:rsidRDefault="00C9729F" w:rsidP="00ED0A4E">
      <w:pPr>
        <w:autoSpaceDE w:val="0"/>
        <w:autoSpaceDN w:val="0"/>
        <w:adjustRightInd w:val="0"/>
        <w:spacing w:line="276" w:lineRule="auto"/>
        <w:ind w:left="1474" w:hanging="1077"/>
        <w:rPr>
          <w:rFonts w:asciiTheme="majorBidi" w:hAnsiTheme="majorBidi" w:cstheme="majorBidi"/>
          <w:sz w:val="24"/>
          <w:szCs w:val="23"/>
        </w:rPr>
      </w:pPr>
      <w:r w:rsidRPr="00ED0A4E">
        <w:rPr>
          <w:rFonts w:asciiTheme="majorBidi" w:hAnsiTheme="majorBidi" w:cstheme="majorBidi"/>
          <w:sz w:val="24"/>
          <w:szCs w:val="23"/>
        </w:rPr>
        <w:t xml:space="preserve">xxxii, </w:t>
      </w:r>
    </w:p>
    <w:p w14:paraId="2E18C043" w14:textId="77777777" w:rsidR="00ED0A4E" w:rsidRDefault="00ED0A4E" w:rsidP="00ED0A4E">
      <w:pPr>
        <w:spacing w:line="276" w:lineRule="auto"/>
        <w:jc w:val="both"/>
        <w:rPr>
          <w:rFonts w:asciiTheme="majorBidi" w:hAnsiTheme="majorBidi" w:cstheme="majorBidi"/>
          <w:sz w:val="24"/>
          <w:szCs w:val="23"/>
          <w:lang w:eastAsia="it-IT"/>
        </w:rPr>
      </w:pPr>
    </w:p>
    <w:p w14:paraId="0694981F" w14:textId="77777777" w:rsidR="00ED0A4E" w:rsidRDefault="00ED0A4E" w:rsidP="00ED0A4E">
      <w:pPr>
        <w:spacing w:line="276" w:lineRule="auto"/>
        <w:ind w:firstLine="397"/>
        <w:jc w:val="both"/>
        <w:rPr>
          <w:rFonts w:asciiTheme="majorBidi" w:hAnsiTheme="majorBidi" w:cstheme="majorBidi"/>
          <w:sz w:val="24"/>
          <w:szCs w:val="23"/>
          <w:lang w:eastAsia="it-IT"/>
        </w:rPr>
      </w:pPr>
    </w:p>
    <w:p w14:paraId="03229231" w14:textId="64B5D0D1" w:rsidR="00C9729F" w:rsidRPr="00ED0A4E" w:rsidRDefault="00C9729F" w:rsidP="00ED0A4E">
      <w:pPr>
        <w:spacing w:line="276" w:lineRule="auto"/>
        <w:ind w:firstLine="397"/>
        <w:jc w:val="both"/>
        <w:rPr>
          <w:rFonts w:asciiTheme="majorBidi" w:hAnsiTheme="majorBidi" w:cstheme="majorBidi"/>
          <w:sz w:val="24"/>
          <w:szCs w:val="23"/>
          <w:lang w:eastAsia="it-IT"/>
        </w:rPr>
      </w:pPr>
      <w:r w:rsidRPr="00ED0A4E">
        <w:rPr>
          <w:rFonts w:asciiTheme="majorBidi" w:hAnsiTheme="majorBidi" w:cstheme="majorBidi"/>
          <w:sz w:val="24"/>
          <w:szCs w:val="23"/>
          <w:lang w:eastAsia="it-IT"/>
        </w:rPr>
        <w:t>Tutte le esortazioni elencate nella sezione IV.D.3 sono attualmente universalmente applicabili nella misura in cui sia possibile per gli amici implementarle. Per esempio, per il momento la raccomandazione di insegnare ai propri figli a cantare i sacri versetti nel Ma</w:t>
      </w:r>
      <w:r w:rsidRPr="00ED0A4E">
        <w:rPr>
          <w:rFonts w:asciiTheme="majorBidi" w:hAnsiTheme="majorBidi" w:cstheme="majorBidi"/>
          <w:sz w:val="24"/>
          <w:szCs w:val="23"/>
          <w:u w:val="single"/>
          <w:lang w:eastAsia="it-IT"/>
        </w:rPr>
        <w:t>sh</w:t>
      </w:r>
      <w:r w:rsidRPr="00ED0A4E">
        <w:rPr>
          <w:rFonts w:asciiTheme="majorBidi" w:hAnsiTheme="majorBidi" w:cstheme="majorBidi"/>
          <w:sz w:val="24"/>
          <w:szCs w:val="23"/>
          <w:lang w:eastAsia="it-IT"/>
        </w:rPr>
        <w:t>riqu’l-A</w:t>
      </w:r>
      <w:r w:rsidRPr="00ED0A4E">
        <w:rPr>
          <w:rFonts w:asciiTheme="majorBidi" w:hAnsiTheme="majorBidi" w:cstheme="majorBidi"/>
          <w:sz w:val="24"/>
          <w:szCs w:val="23"/>
          <w:u w:val="single"/>
          <w:lang w:eastAsia="it-IT"/>
        </w:rPr>
        <w:t>dh</w:t>
      </w:r>
      <w:r w:rsidRPr="00ED0A4E">
        <w:rPr>
          <w:rFonts w:asciiTheme="majorBidi" w:hAnsiTheme="majorBidi" w:cstheme="majorBidi"/>
          <w:sz w:val="24"/>
          <w:szCs w:val="23"/>
          <w:lang w:eastAsia="it-IT"/>
        </w:rPr>
        <w:t>kár può essere letteralmente messa in atto solo su scala ridotta, ma gli amici devono, comunque, insegnare ai loro figli le sacre Scritture nei limiti del possibile.</w:t>
      </w:r>
    </w:p>
    <w:p w14:paraId="532A01E5" w14:textId="77777777" w:rsidR="00C9729F" w:rsidRPr="00911015" w:rsidRDefault="00C9729F" w:rsidP="00C9729F">
      <w:pPr>
        <w:autoSpaceDE w:val="0"/>
        <w:autoSpaceDN w:val="0"/>
        <w:adjustRightInd w:val="0"/>
        <w:spacing w:line="300" w:lineRule="exact"/>
        <w:ind w:firstLine="709"/>
        <w:rPr>
          <w:rFonts w:asciiTheme="majorBidi" w:hAnsiTheme="majorBidi" w:cstheme="majorBidi"/>
          <w:sz w:val="23"/>
          <w:szCs w:val="23"/>
          <w:lang w:val="en-US" w:eastAsia="it-IT"/>
        </w:rPr>
      </w:pPr>
      <w:bookmarkStart w:id="0" w:name="_GoBack"/>
      <w:bookmarkEnd w:id="0"/>
    </w:p>
    <w:p w14:paraId="0D979C31" w14:textId="77777777" w:rsidR="00C9729F" w:rsidRDefault="00C9729F"/>
    <w:sectPr w:rsidR="00C9729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0343A" w14:textId="77777777" w:rsidR="007C219B" w:rsidRDefault="007C219B" w:rsidP="00C9729F">
      <w:r>
        <w:separator/>
      </w:r>
    </w:p>
  </w:endnote>
  <w:endnote w:type="continuationSeparator" w:id="0">
    <w:p w14:paraId="6618DCD9" w14:textId="77777777" w:rsidR="007C219B" w:rsidRDefault="007C219B" w:rsidP="00C97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7CEA57" w14:textId="77777777" w:rsidR="007C219B" w:rsidRDefault="007C219B" w:rsidP="00C9729F">
      <w:r>
        <w:separator/>
      </w:r>
    </w:p>
  </w:footnote>
  <w:footnote w:type="continuationSeparator" w:id="0">
    <w:p w14:paraId="14ADE556" w14:textId="77777777" w:rsidR="007C219B" w:rsidRDefault="007C219B" w:rsidP="00C972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29F"/>
    <w:rsid w:val="007C219B"/>
    <w:rsid w:val="00C9729F"/>
    <w:rsid w:val="00CF6EDF"/>
    <w:rsid w:val="00ED0A4E"/>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694CA"/>
  <w15:chartTrackingRefBased/>
  <w15:docId w15:val="{248495C1-50B5-4068-9E16-2DEE7AC71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9729F"/>
    <w:pPr>
      <w:spacing w:after="0" w:line="240" w:lineRule="auto"/>
    </w:pPr>
    <w:rPr>
      <w:rFonts w:ascii="Times New Roman" w:eastAsia="Times New Roman" w:hAnsi="Times New Roman" w:cs="Times New Roman"/>
      <w:sz w:val="20"/>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rsid w:val="00C9729F"/>
    <w:pPr>
      <w:tabs>
        <w:tab w:val="left" w:pos="187"/>
      </w:tabs>
      <w:spacing w:after="120" w:line="220" w:lineRule="exact"/>
      <w:ind w:left="187" w:hanging="187"/>
    </w:pPr>
    <w:rPr>
      <w:rFonts w:asciiTheme="minorHAnsi" w:eastAsiaTheme="minorHAnsi" w:hAnsiTheme="minorHAnsi" w:cstheme="minorBidi"/>
      <w:sz w:val="18"/>
      <w:szCs w:val="18"/>
      <w:lang w:eastAsia="en-US"/>
    </w:rPr>
  </w:style>
  <w:style w:type="character" w:customStyle="1" w:styleId="TestonotaapidipaginaCarattere">
    <w:name w:val="Testo nota a piè di pagina Carattere"/>
    <w:basedOn w:val="Carpredefinitoparagrafo"/>
    <w:link w:val="Testonotaapidipagina"/>
    <w:uiPriority w:val="99"/>
    <w:rsid w:val="00C9729F"/>
    <w:rPr>
      <w:sz w:val="18"/>
      <w:szCs w:val="18"/>
    </w:rPr>
  </w:style>
  <w:style w:type="character" w:styleId="Rimandonotaapidipagina">
    <w:name w:val="footnote reference"/>
    <w:basedOn w:val="Carpredefinitoparagrafo"/>
    <w:uiPriority w:val="99"/>
    <w:rsid w:val="00C972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667</Words>
  <Characters>3803</Characters>
  <Application>Microsoft Office Word</Application>
  <DocSecurity>0</DocSecurity>
  <Lines>31</Lines>
  <Paragraphs>8</Paragraphs>
  <ScaleCrop>false</ScaleCrop>
  <Company/>
  <LinksUpToDate>false</LinksUpToDate>
  <CharactersWithSpaces>4462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dc:creator>
  <cp:keywords/>
  <dc:description/>
  <cp:lastModifiedBy>Puya Roshanian</cp:lastModifiedBy>
  <cp:revision>3</cp:revision>
  <dcterms:created xsi:type="dcterms:W3CDTF">2021-06-03T04:47:00Z</dcterms:created>
  <dcterms:modified xsi:type="dcterms:W3CDTF">2021-06-03T20:53:00Z</dcterms:modified>
</cp:coreProperties>
</file>