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5F93" w:rsidRPr="00E747D9" w:rsidRDefault="00965F93" w:rsidP="00965F93">
      <w:pPr>
        <w:keepNext/>
        <w:keepLines/>
        <w:spacing w:before="160" w:after="240"/>
        <w:jc w:val="center"/>
        <w:rPr>
          <w:sz w:val="24"/>
          <w:szCs w:val="24"/>
        </w:rPr>
      </w:pPr>
      <w:r w:rsidRPr="00E747D9">
        <w:rPr>
          <w:sz w:val="24"/>
          <w:szCs w:val="24"/>
        </w:rPr>
        <w:t>La Casa Universale di Giustizia</w:t>
      </w:r>
    </w:p>
    <w:p w:rsidR="00F60E34" w:rsidRDefault="00015D0D">
      <w:pPr>
        <w:jc w:val="center"/>
        <w:rPr>
          <w:sz w:val="24"/>
          <w:szCs w:val="24"/>
        </w:rPr>
      </w:pPr>
      <w:r>
        <w:rPr>
          <w:sz w:val="24"/>
          <w:szCs w:val="24"/>
        </w:rPr>
        <w:t>31</w:t>
      </w:r>
      <w:r w:rsidR="00F60E34">
        <w:rPr>
          <w:sz w:val="24"/>
          <w:szCs w:val="24"/>
        </w:rPr>
        <w:t xml:space="preserve"> dicembre 2005</w:t>
      </w:r>
    </w:p>
    <w:p w:rsidR="00F60E34" w:rsidRDefault="00F60E34">
      <w:pPr>
        <w:jc w:val="both"/>
        <w:rPr>
          <w:sz w:val="24"/>
          <w:szCs w:val="24"/>
        </w:rPr>
      </w:pPr>
    </w:p>
    <w:p w:rsidR="00F60E34" w:rsidRDefault="00F60E34">
      <w:pPr>
        <w:jc w:val="both"/>
        <w:rPr>
          <w:sz w:val="24"/>
          <w:szCs w:val="24"/>
        </w:rPr>
      </w:pPr>
    </w:p>
    <w:p w:rsidR="00015D0D" w:rsidRDefault="00015D0D" w:rsidP="00015D0D">
      <w:pPr>
        <w:pStyle w:val="Corpotesto"/>
        <w:spacing w:line="276" w:lineRule="auto"/>
        <w:ind w:left="709" w:right="4507" w:hanging="748"/>
        <w:jc w:val="both"/>
        <w:rPr>
          <w:rFonts w:ascii="Times New Roman" w:hAnsi="Times New Roman" w:cs="Times New Roman"/>
          <w:spacing w:val="-5"/>
          <w:w w:val="95"/>
          <w:sz w:val="24"/>
          <w:szCs w:val="24"/>
        </w:rPr>
      </w:pPr>
      <w:r w:rsidRPr="00015D0D">
        <w:rPr>
          <w:rFonts w:ascii="Times New Roman" w:hAnsi="Times New Roman" w:cs="Times New Roman"/>
          <w:spacing w:val="3"/>
          <w:w w:val="95"/>
          <w:sz w:val="24"/>
          <w:szCs w:val="24"/>
        </w:rPr>
        <w:t>Ai</w:t>
      </w:r>
      <w:r w:rsidRPr="00015D0D">
        <w:rPr>
          <w:rFonts w:ascii="Times New Roman" w:hAnsi="Times New Roman" w:cs="Times New Roman"/>
          <w:spacing w:val="-20"/>
          <w:w w:val="95"/>
          <w:sz w:val="24"/>
          <w:szCs w:val="24"/>
        </w:rPr>
        <w:t xml:space="preserve"> </w:t>
      </w:r>
      <w:r w:rsidRPr="00015D0D">
        <w:rPr>
          <w:rFonts w:ascii="Times New Roman" w:hAnsi="Times New Roman" w:cs="Times New Roman"/>
          <w:spacing w:val="2"/>
          <w:w w:val="95"/>
          <w:sz w:val="24"/>
          <w:szCs w:val="24"/>
        </w:rPr>
        <w:t>bahá’í</w:t>
      </w:r>
      <w:r w:rsidRPr="00015D0D">
        <w:rPr>
          <w:rFonts w:ascii="Times New Roman" w:hAnsi="Times New Roman" w:cs="Times New Roman"/>
          <w:spacing w:val="-23"/>
          <w:w w:val="95"/>
          <w:sz w:val="24"/>
          <w:szCs w:val="24"/>
        </w:rPr>
        <w:t xml:space="preserve"> </w:t>
      </w:r>
      <w:r w:rsidRPr="00015D0D">
        <w:rPr>
          <w:rFonts w:ascii="Times New Roman" w:hAnsi="Times New Roman" w:cs="Times New Roman"/>
          <w:w w:val="95"/>
          <w:sz w:val="24"/>
          <w:szCs w:val="24"/>
        </w:rPr>
        <w:t>del</w:t>
      </w:r>
      <w:r w:rsidRPr="00015D0D">
        <w:rPr>
          <w:rFonts w:ascii="Times New Roman" w:hAnsi="Times New Roman" w:cs="Times New Roman"/>
          <w:spacing w:val="-20"/>
          <w:w w:val="95"/>
          <w:sz w:val="24"/>
          <w:szCs w:val="24"/>
        </w:rPr>
        <w:t xml:space="preserve"> </w:t>
      </w:r>
      <w:r w:rsidRPr="00015D0D">
        <w:rPr>
          <w:rFonts w:ascii="Times New Roman" w:hAnsi="Times New Roman" w:cs="Times New Roman"/>
          <w:spacing w:val="-5"/>
          <w:w w:val="95"/>
          <w:sz w:val="24"/>
          <w:szCs w:val="24"/>
        </w:rPr>
        <w:t xml:space="preserve">mondo </w:t>
      </w:r>
    </w:p>
    <w:p w:rsidR="00015D0D" w:rsidRDefault="00015D0D" w:rsidP="00015D0D">
      <w:pPr>
        <w:pStyle w:val="Corpotesto"/>
        <w:spacing w:line="276" w:lineRule="auto"/>
        <w:ind w:left="709" w:right="4507" w:hanging="748"/>
        <w:jc w:val="both"/>
        <w:rPr>
          <w:rFonts w:ascii="Times New Roman" w:hAnsi="Times New Roman" w:cs="Times New Roman"/>
          <w:spacing w:val="-5"/>
          <w:w w:val="95"/>
          <w:sz w:val="24"/>
          <w:szCs w:val="24"/>
        </w:rPr>
      </w:pPr>
      <w:bookmarkStart w:id="0" w:name="_GoBack"/>
      <w:bookmarkEnd w:id="0"/>
    </w:p>
    <w:p w:rsidR="00015D0D" w:rsidRPr="00015D0D" w:rsidRDefault="00015D0D" w:rsidP="00015D0D">
      <w:pPr>
        <w:pStyle w:val="Corpotesto"/>
        <w:spacing w:after="240" w:line="276" w:lineRule="auto"/>
        <w:ind w:left="709" w:right="4507" w:hanging="748"/>
        <w:jc w:val="both"/>
        <w:rPr>
          <w:rFonts w:ascii="Times New Roman" w:hAnsi="Times New Roman" w:cs="Times New Roman"/>
          <w:sz w:val="24"/>
          <w:szCs w:val="24"/>
        </w:rPr>
      </w:pPr>
      <w:r w:rsidRPr="00015D0D">
        <w:rPr>
          <w:rFonts w:ascii="Times New Roman" w:hAnsi="Times New Roman" w:cs="Times New Roman"/>
          <w:spacing w:val="2"/>
          <w:sz w:val="24"/>
          <w:szCs w:val="24"/>
        </w:rPr>
        <w:t>Amici</w:t>
      </w:r>
      <w:r w:rsidRPr="00015D0D">
        <w:rPr>
          <w:rFonts w:ascii="Times New Roman" w:hAnsi="Times New Roman" w:cs="Times New Roman"/>
          <w:spacing w:val="-29"/>
          <w:sz w:val="24"/>
          <w:szCs w:val="24"/>
        </w:rPr>
        <w:t xml:space="preserve"> </w:t>
      </w:r>
      <w:r w:rsidRPr="00015D0D">
        <w:rPr>
          <w:rFonts w:ascii="Times New Roman" w:hAnsi="Times New Roman" w:cs="Times New Roman"/>
          <w:sz w:val="24"/>
          <w:szCs w:val="24"/>
        </w:rPr>
        <w:t>amatissimi,</w:t>
      </w:r>
    </w:p>
    <w:p w:rsidR="00015D0D" w:rsidRDefault="00015D0D" w:rsidP="00015D0D">
      <w:pPr>
        <w:pStyle w:val="Corpotesto"/>
        <w:spacing w:after="240" w:line="276" w:lineRule="auto"/>
        <w:ind w:firstLine="708"/>
        <w:jc w:val="both"/>
        <w:rPr>
          <w:rFonts w:ascii="Times New Roman" w:hAnsi="Times New Roman" w:cs="Times New Roman"/>
          <w:sz w:val="24"/>
          <w:szCs w:val="24"/>
        </w:rPr>
      </w:pPr>
      <w:proofErr w:type="gramStart"/>
      <w:r w:rsidRPr="00015D0D">
        <w:rPr>
          <w:rFonts w:ascii="Times New Roman" w:hAnsi="Times New Roman" w:cs="Times New Roman"/>
          <w:sz w:val="24"/>
          <w:szCs w:val="24"/>
        </w:rPr>
        <w:t>mentre</w:t>
      </w:r>
      <w:proofErr w:type="gramEnd"/>
      <w:r w:rsidRPr="00015D0D">
        <w:rPr>
          <w:rFonts w:ascii="Times New Roman" w:hAnsi="Times New Roman" w:cs="Times New Roman"/>
          <w:spacing w:val="-30"/>
          <w:sz w:val="24"/>
          <w:szCs w:val="24"/>
        </w:rPr>
        <w:t xml:space="preserve"> </w:t>
      </w:r>
      <w:r w:rsidRPr="00015D0D">
        <w:rPr>
          <w:rFonts w:ascii="Times New Roman" w:hAnsi="Times New Roman" w:cs="Times New Roman"/>
          <w:sz w:val="24"/>
          <w:szCs w:val="24"/>
        </w:rPr>
        <w:t>si</w:t>
      </w:r>
      <w:r w:rsidRPr="00015D0D">
        <w:rPr>
          <w:rFonts w:ascii="Times New Roman" w:hAnsi="Times New Roman" w:cs="Times New Roman"/>
          <w:spacing w:val="-27"/>
          <w:sz w:val="24"/>
          <w:szCs w:val="24"/>
        </w:rPr>
        <w:t xml:space="preserve"> </w:t>
      </w:r>
      <w:r w:rsidRPr="00015D0D">
        <w:rPr>
          <w:rFonts w:ascii="Times New Roman" w:hAnsi="Times New Roman" w:cs="Times New Roman"/>
          <w:sz w:val="24"/>
          <w:szCs w:val="24"/>
        </w:rPr>
        <w:t>avvicina</w:t>
      </w:r>
      <w:r w:rsidRPr="00015D0D">
        <w:rPr>
          <w:rFonts w:ascii="Times New Roman" w:hAnsi="Times New Roman" w:cs="Times New Roman"/>
          <w:spacing w:val="-30"/>
          <w:sz w:val="24"/>
          <w:szCs w:val="24"/>
        </w:rPr>
        <w:t xml:space="preserve"> </w:t>
      </w:r>
      <w:r w:rsidRPr="00015D0D">
        <w:rPr>
          <w:rFonts w:ascii="Times New Roman" w:hAnsi="Times New Roman" w:cs="Times New Roman"/>
          <w:spacing w:val="3"/>
          <w:sz w:val="24"/>
          <w:szCs w:val="24"/>
        </w:rPr>
        <w:t>la</w:t>
      </w:r>
      <w:r w:rsidRPr="00015D0D">
        <w:rPr>
          <w:rFonts w:ascii="Times New Roman" w:hAnsi="Times New Roman" w:cs="Times New Roman"/>
          <w:spacing w:val="-30"/>
          <w:sz w:val="24"/>
          <w:szCs w:val="24"/>
        </w:rPr>
        <w:t xml:space="preserve"> </w:t>
      </w:r>
      <w:r w:rsidRPr="00015D0D">
        <w:rPr>
          <w:rFonts w:ascii="Times New Roman" w:hAnsi="Times New Roman" w:cs="Times New Roman"/>
          <w:sz w:val="24"/>
          <w:szCs w:val="24"/>
        </w:rPr>
        <w:t>chiusura</w:t>
      </w:r>
      <w:r w:rsidRPr="00015D0D">
        <w:rPr>
          <w:rFonts w:ascii="Times New Roman" w:hAnsi="Times New Roman" w:cs="Times New Roman"/>
          <w:spacing w:val="-30"/>
          <w:sz w:val="24"/>
          <w:szCs w:val="24"/>
        </w:rPr>
        <w:t xml:space="preserve"> </w:t>
      </w:r>
      <w:r w:rsidRPr="00015D0D">
        <w:rPr>
          <w:rFonts w:ascii="Times New Roman" w:hAnsi="Times New Roman" w:cs="Times New Roman"/>
          <w:sz w:val="24"/>
          <w:szCs w:val="24"/>
        </w:rPr>
        <w:t>della riunione in Terra Santa dei</w:t>
      </w:r>
      <w:r>
        <w:rPr>
          <w:rFonts w:ascii="Times New Roman" w:hAnsi="Times New Roman" w:cs="Times New Roman"/>
          <w:sz w:val="24"/>
          <w:szCs w:val="24"/>
        </w:rPr>
        <w:t xml:space="preserve"> </w:t>
      </w:r>
      <w:r w:rsidRPr="00015D0D">
        <w:rPr>
          <w:rFonts w:ascii="Times New Roman" w:hAnsi="Times New Roman" w:cs="Times New Roman"/>
          <w:sz w:val="24"/>
          <w:szCs w:val="24"/>
        </w:rPr>
        <w:t>Consiglieri continentali, siamo</w:t>
      </w:r>
      <w:r>
        <w:rPr>
          <w:rFonts w:ascii="Times New Roman" w:hAnsi="Times New Roman" w:cs="Times New Roman"/>
          <w:sz w:val="24"/>
          <w:szCs w:val="24"/>
        </w:rPr>
        <w:t xml:space="preserve"> </w:t>
      </w:r>
      <w:r w:rsidRPr="00015D0D">
        <w:rPr>
          <w:rFonts w:ascii="Times New Roman" w:hAnsi="Times New Roman" w:cs="Times New Roman"/>
          <w:sz w:val="24"/>
          <w:szCs w:val="24"/>
        </w:rPr>
        <w:t xml:space="preserve">spinti a condividere con voi i </w:t>
      </w:r>
      <w:r w:rsidRPr="00015D0D">
        <w:rPr>
          <w:rFonts w:ascii="Times New Roman" w:hAnsi="Times New Roman" w:cs="Times New Roman"/>
          <w:sz w:val="24"/>
          <w:szCs w:val="24"/>
        </w:rPr>
        <w:t>sen</w:t>
      </w:r>
      <w:r w:rsidRPr="00015D0D">
        <w:rPr>
          <w:rFonts w:ascii="Times New Roman" w:hAnsi="Times New Roman" w:cs="Times New Roman"/>
          <w:sz w:val="24"/>
          <w:szCs w:val="24"/>
        </w:rPr>
        <w:t>timenti di gioia, trionfo e fiducia che hanno caratterizzato vari giorni di delibere concentrate sull’attuale Piano quinquennale e sull’impresa globale che farà seguito.</w:t>
      </w:r>
    </w:p>
    <w:p w:rsidR="00015D0D" w:rsidRDefault="00015D0D" w:rsidP="00015D0D">
      <w:pPr>
        <w:pStyle w:val="Corpotesto"/>
        <w:spacing w:after="240" w:line="276" w:lineRule="auto"/>
        <w:ind w:firstLine="708"/>
        <w:jc w:val="both"/>
        <w:rPr>
          <w:rFonts w:ascii="Times New Roman" w:hAnsi="Times New Roman" w:cs="Times New Roman"/>
          <w:sz w:val="24"/>
          <w:szCs w:val="24"/>
        </w:rPr>
      </w:pPr>
      <w:r w:rsidRPr="00015D0D">
        <w:rPr>
          <w:rFonts w:ascii="Times New Roman" w:hAnsi="Times New Roman" w:cs="Times New Roman"/>
          <w:sz w:val="24"/>
          <w:szCs w:val="24"/>
        </w:rPr>
        <w:t>La Mano della Causa di Dio ‘</w:t>
      </w:r>
      <w:proofErr w:type="spellStart"/>
      <w:r w:rsidRPr="00015D0D">
        <w:rPr>
          <w:rFonts w:ascii="Times New Roman" w:hAnsi="Times New Roman" w:cs="Times New Roman"/>
          <w:sz w:val="24"/>
          <w:szCs w:val="24"/>
        </w:rPr>
        <w:t>Alí</w:t>
      </w:r>
      <w:proofErr w:type="spellEnd"/>
      <w:r w:rsidRPr="00015D0D">
        <w:rPr>
          <w:rFonts w:ascii="Times New Roman" w:hAnsi="Times New Roman" w:cs="Times New Roman"/>
          <w:sz w:val="24"/>
          <w:szCs w:val="24"/>
        </w:rPr>
        <w:t>-Mu</w:t>
      </w:r>
      <w:r w:rsidRPr="00015D0D">
        <w:rPr>
          <w:rFonts w:ascii="Times New Roman" w:hAnsi="Times New Roman" w:cs="Times New Roman"/>
          <w:sz w:val="24"/>
          <w:szCs w:val="24"/>
        </w:rPr>
        <w:t>h</w:t>
      </w:r>
      <w:r w:rsidRPr="00015D0D">
        <w:rPr>
          <w:rFonts w:ascii="Times New Roman" w:hAnsi="Times New Roman" w:cs="Times New Roman"/>
          <w:sz w:val="24"/>
          <w:szCs w:val="24"/>
        </w:rPr>
        <w:t xml:space="preserve">ammad </w:t>
      </w:r>
      <w:proofErr w:type="spellStart"/>
      <w:r w:rsidRPr="00015D0D">
        <w:rPr>
          <w:rFonts w:ascii="Times New Roman" w:hAnsi="Times New Roman" w:cs="Times New Roman"/>
          <w:sz w:val="24"/>
          <w:szCs w:val="24"/>
        </w:rPr>
        <w:t>Varqá</w:t>
      </w:r>
      <w:proofErr w:type="spellEnd"/>
      <w:r w:rsidRPr="00015D0D">
        <w:rPr>
          <w:rFonts w:ascii="Times New Roman" w:hAnsi="Times New Roman" w:cs="Times New Roman"/>
          <w:sz w:val="24"/>
          <w:szCs w:val="24"/>
        </w:rPr>
        <w:t xml:space="preserve"> ha aperto il convegno con uno stimolante appello</w:t>
      </w:r>
      <w:r>
        <w:rPr>
          <w:rFonts w:ascii="Times New Roman" w:hAnsi="Times New Roman" w:cs="Times New Roman"/>
          <w:sz w:val="24"/>
          <w:szCs w:val="24"/>
        </w:rPr>
        <w:t xml:space="preserve"> </w:t>
      </w:r>
      <w:r w:rsidRPr="00015D0D">
        <w:rPr>
          <w:rFonts w:ascii="Times New Roman" w:hAnsi="Times New Roman" w:cs="Times New Roman"/>
          <w:sz w:val="24"/>
          <w:szCs w:val="24"/>
        </w:rPr>
        <w:t xml:space="preserve">a un’azione risoluta, </w:t>
      </w:r>
      <w:r>
        <w:rPr>
          <w:rFonts w:ascii="Times New Roman" w:hAnsi="Times New Roman" w:cs="Times New Roman"/>
          <w:sz w:val="24"/>
          <w:szCs w:val="24"/>
        </w:rPr>
        <w:t>in</w:t>
      </w:r>
      <w:r w:rsidRPr="00015D0D">
        <w:rPr>
          <w:rFonts w:ascii="Times New Roman" w:hAnsi="Times New Roman" w:cs="Times New Roman"/>
          <w:sz w:val="24"/>
          <w:szCs w:val="24"/>
        </w:rPr>
        <w:t xml:space="preserve">fondendo ai lavori uno spirito di incrollabile determinazione. Sono scaturite innumerevoli storie sulle ispiranti attività degli amici e sulla brama e recettività delle genti del mondo, che testimoniano che la Fede di Bahá’u’lláh sta fiorendo più abbondantemente in tutte le parti del globo. Le esperienze condivise, provenienti da </w:t>
      </w:r>
      <w:r>
        <w:rPr>
          <w:rFonts w:ascii="Times New Roman" w:hAnsi="Times New Roman" w:cs="Times New Roman"/>
          <w:sz w:val="24"/>
          <w:szCs w:val="24"/>
        </w:rPr>
        <w:t>a</w:t>
      </w:r>
      <w:r w:rsidRPr="00015D0D">
        <w:rPr>
          <w:rFonts w:ascii="Times New Roman" w:hAnsi="Times New Roman" w:cs="Times New Roman"/>
          <w:sz w:val="24"/>
          <w:szCs w:val="24"/>
        </w:rPr>
        <w:t xml:space="preserve">ree diverse di ogni continente, hanno fornito chiare risposte alle continue domande su come sostenere il processo di crescita e su come raggiungere un equilibrio fra l’espansione e il </w:t>
      </w:r>
      <w:r>
        <w:rPr>
          <w:rFonts w:ascii="Times New Roman" w:hAnsi="Times New Roman" w:cs="Times New Roman"/>
          <w:sz w:val="24"/>
          <w:szCs w:val="24"/>
        </w:rPr>
        <w:t>consolida</w:t>
      </w:r>
      <w:r w:rsidRPr="00015D0D">
        <w:rPr>
          <w:rFonts w:ascii="Times New Roman" w:hAnsi="Times New Roman" w:cs="Times New Roman"/>
          <w:sz w:val="24"/>
          <w:szCs w:val="24"/>
        </w:rPr>
        <w:t xml:space="preserve">mento, che hanno impegnato la comunità bahá’í per quasi mezzo secolo. Resoconti di ostacoli superati, una nuova acquisizione dell’apprendimento e la scoperta di visioni creative hanno reso </w:t>
      </w:r>
      <w:r>
        <w:rPr>
          <w:rFonts w:ascii="Times New Roman" w:hAnsi="Times New Roman" w:cs="Times New Roman"/>
          <w:sz w:val="24"/>
          <w:szCs w:val="24"/>
        </w:rPr>
        <w:t>e</w:t>
      </w:r>
      <w:r w:rsidRPr="00015D0D">
        <w:rPr>
          <w:rFonts w:ascii="Times New Roman" w:hAnsi="Times New Roman" w:cs="Times New Roman"/>
          <w:sz w:val="24"/>
          <w:szCs w:val="24"/>
        </w:rPr>
        <w:t>vidente che l’Esercito della Luce è pronto ad avanzare verso nuovi orizzonti.</w:t>
      </w:r>
    </w:p>
    <w:p w:rsidR="00015D0D" w:rsidRDefault="00015D0D" w:rsidP="00015D0D">
      <w:pPr>
        <w:pStyle w:val="Corpotesto"/>
        <w:spacing w:after="240" w:line="276" w:lineRule="auto"/>
        <w:ind w:left="-39" w:firstLine="747"/>
        <w:jc w:val="both"/>
        <w:rPr>
          <w:rFonts w:ascii="Times New Roman" w:hAnsi="Times New Roman" w:cs="Times New Roman"/>
          <w:sz w:val="24"/>
          <w:szCs w:val="24"/>
        </w:rPr>
      </w:pPr>
      <w:r w:rsidRPr="00015D0D">
        <w:rPr>
          <w:rFonts w:ascii="Times New Roman" w:hAnsi="Times New Roman" w:cs="Times New Roman"/>
          <w:sz w:val="24"/>
          <w:szCs w:val="24"/>
        </w:rPr>
        <w:t xml:space="preserve">Non vi può essere alcun dubbio che il Piano che presto si </w:t>
      </w:r>
      <w:r>
        <w:rPr>
          <w:rFonts w:ascii="Times New Roman" w:hAnsi="Times New Roman" w:cs="Times New Roman"/>
          <w:sz w:val="24"/>
          <w:szCs w:val="24"/>
        </w:rPr>
        <w:t>con</w:t>
      </w:r>
      <w:r w:rsidRPr="00015D0D">
        <w:rPr>
          <w:rFonts w:ascii="Times New Roman" w:hAnsi="Times New Roman" w:cs="Times New Roman"/>
          <w:sz w:val="24"/>
          <w:szCs w:val="24"/>
        </w:rPr>
        <w:t xml:space="preserve">cluderà segna una svolta nelle fortune della Fede. Guardiamo al prossimo decennio e mezzo, gli ultimi anni del primo secolo dell’Età formativa, con grandi aspettative su ciò che sarà realizzato. Da questo punto avvantaggiato il mondo bahá’í può rendersi conto prontamente della significativa misura con cui il </w:t>
      </w:r>
      <w:r>
        <w:rPr>
          <w:rFonts w:ascii="Times New Roman" w:hAnsi="Times New Roman" w:cs="Times New Roman"/>
          <w:sz w:val="24"/>
          <w:szCs w:val="24"/>
        </w:rPr>
        <w:t>Centro Interna</w:t>
      </w:r>
      <w:r w:rsidRPr="00015D0D">
        <w:rPr>
          <w:rFonts w:ascii="Times New Roman" w:hAnsi="Times New Roman" w:cs="Times New Roman"/>
          <w:sz w:val="24"/>
          <w:szCs w:val="24"/>
        </w:rPr>
        <w:t xml:space="preserve">zionale per l’Insegnamento ha fornito quell’impeto così </w:t>
      </w:r>
      <w:r>
        <w:rPr>
          <w:rFonts w:ascii="Times New Roman" w:hAnsi="Times New Roman" w:cs="Times New Roman"/>
          <w:sz w:val="24"/>
          <w:szCs w:val="24"/>
        </w:rPr>
        <w:t>indispen</w:t>
      </w:r>
      <w:r w:rsidRPr="00015D0D">
        <w:rPr>
          <w:rFonts w:ascii="Times New Roman" w:hAnsi="Times New Roman" w:cs="Times New Roman"/>
          <w:sz w:val="24"/>
          <w:szCs w:val="24"/>
        </w:rPr>
        <w:t xml:space="preserve">sabile per illuminare il percorso di questi ultimi pochi anni e può anche intravedere le ricche possibilità che i suoi sforzi consacrati preannunciano per il </w:t>
      </w:r>
      <w:r>
        <w:rPr>
          <w:rFonts w:ascii="Times New Roman" w:hAnsi="Times New Roman" w:cs="Times New Roman"/>
          <w:sz w:val="24"/>
          <w:szCs w:val="24"/>
        </w:rPr>
        <w:t>futuro.</w:t>
      </w:r>
    </w:p>
    <w:p w:rsidR="00015D0D" w:rsidRPr="00015D0D" w:rsidRDefault="00015D0D" w:rsidP="00015D0D">
      <w:pPr>
        <w:pStyle w:val="Corpotesto"/>
        <w:spacing w:line="276" w:lineRule="auto"/>
        <w:ind w:left="-39" w:firstLine="747"/>
        <w:jc w:val="both"/>
        <w:rPr>
          <w:rFonts w:ascii="Times New Roman" w:hAnsi="Times New Roman" w:cs="Times New Roman"/>
          <w:sz w:val="24"/>
          <w:szCs w:val="24"/>
        </w:rPr>
      </w:pPr>
      <w:r w:rsidRPr="00015D0D">
        <w:rPr>
          <w:rFonts w:ascii="Times New Roman" w:hAnsi="Times New Roman" w:cs="Times New Roman"/>
          <w:sz w:val="24"/>
          <w:szCs w:val="24"/>
        </w:rPr>
        <w:t>Il nostro messaggio del 27 dicembre indirizzato al Convegno, già trasmesso alle Assemblee Spiri</w:t>
      </w:r>
      <w:r>
        <w:rPr>
          <w:rFonts w:ascii="Times New Roman" w:hAnsi="Times New Roman" w:cs="Times New Roman"/>
          <w:sz w:val="24"/>
          <w:szCs w:val="24"/>
        </w:rPr>
        <w:t>tuali Nazionali, riassume quan</w:t>
      </w:r>
      <w:r w:rsidRPr="00015D0D">
        <w:rPr>
          <w:rFonts w:ascii="Times New Roman" w:hAnsi="Times New Roman" w:cs="Times New Roman"/>
          <w:sz w:val="24"/>
          <w:szCs w:val="24"/>
        </w:rPr>
        <w:t xml:space="preserve">to appreso finora sulla crescita e delinea le priorità del prossimo Piano. Uno studio attento del messaggio da parte di tutti i credenti e di tutte le Istituzioni sarà requisito essenziale per le future </w:t>
      </w:r>
      <w:r>
        <w:rPr>
          <w:rFonts w:ascii="Times New Roman" w:hAnsi="Times New Roman" w:cs="Times New Roman"/>
          <w:sz w:val="24"/>
          <w:szCs w:val="24"/>
        </w:rPr>
        <w:t>con</w:t>
      </w:r>
      <w:r w:rsidRPr="00015D0D">
        <w:rPr>
          <w:rFonts w:ascii="Times New Roman" w:hAnsi="Times New Roman" w:cs="Times New Roman"/>
          <w:sz w:val="24"/>
          <w:szCs w:val="24"/>
        </w:rPr>
        <w:t>sultazioni che si terranno a ogni livello della comunità al rientro dei Consiglieri nelle loro sedi.</w:t>
      </w:r>
    </w:p>
    <w:p w:rsidR="00965F93" w:rsidRDefault="00965F93" w:rsidP="00965F93">
      <w:pPr>
        <w:spacing w:line="276" w:lineRule="auto"/>
        <w:jc w:val="both"/>
        <w:rPr>
          <w:sz w:val="24"/>
          <w:szCs w:val="24"/>
        </w:rPr>
      </w:pPr>
    </w:p>
    <w:p w:rsidR="00965F93" w:rsidRPr="00965F93" w:rsidRDefault="00965F93" w:rsidP="00965F93">
      <w:pPr>
        <w:spacing w:line="276" w:lineRule="auto"/>
        <w:jc w:val="both"/>
        <w:rPr>
          <w:sz w:val="24"/>
          <w:szCs w:val="24"/>
        </w:rPr>
      </w:pPr>
    </w:p>
    <w:p w:rsidR="00965F93" w:rsidRPr="006E60CB" w:rsidRDefault="00965F93" w:rsidP="00965F93">
      <w:pPr>
        <w:ind w:left="2124" w:firstLine="708"/>
        <w:jc w:val="center"/>
        <w:rPr>
          <w:sz w:val="24"/>
        </w:rPr>
      </w:pPr>
      <w:r>
        <w:rPr>
          <w:sz w:val="24"/>
        </w:rPr>
        <w:t>[Firmato: La Casa Universale di Giustizia]</w:t>
      </w:r>
    </w:p>
    <w:p w:rsidR="00F60E34" w:rsidRDefault="00F60E34">
      <w:pPr>
        <w:jc w:val="both"/>
        <w:rPr>
          <w:sz w:val="24"/>
          <w:szCs w:val="24"/>
        </w:rPr>
      </w:pPr>
    </w:p>
    <w:sectPr w:rsidR="00F60E34" w:rsidSect="00015D0D">
      <w:footerReference w:type="default" r:id="rId4"/>
      <w:type w:val="continuous"/>
      <w:pgSz w:w="11907" w:h="16839" w:code="9"/>
      <w:pgMar w:top="1417" w:right="1134" w:bottom="1134" w:left="1134" w:header="720" w:footer="720"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3559" w:rsidRDefault="00015D0D">
    <w:pPr>
      <w:pStyle w:val="Corpotesto"/>
      <w:spacing w:line="14" w:lineRule="auto"/>
      <w:rPr>
        <w:sz w:val="2"/>
      </w:rP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proofState w:spelling="clean" w:grammar="clean"/>
  <w:defaultTabStop w:val="708"/>
  <w:hyphenationZone w:val="283"/>
  <w:displayHorizontalDrawingGridEvery w:val="0"/>
  <w:displayVerticalDrawingGridEvery w:val="0"/>
  <w:doNotUseMarginsForDrawingGridOrigin/>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31EE"/>
    <w:rsid w:val="00015D0D"/>
    <w:rsid w:val="000C0727"/>
    <w:rsid w:val="0056730A"/>
    <w:rsid w:val="007C31EE"/>
    <w:rsid w:val="008F5BAB"/>
    <w:rsid w:val="00965F93"/>
    <w:rsid w:val="00BA5E7C"/>
    <w:rsid w:val="00F60E3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1F1579A-E17C-492F-9A5A-2D451DB8B7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it-IT" w:eastAsia="it-IT"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spacing w:after="0" w:line="240" w:lineRule="auto"/>
    </w:pPr>
    <w:rPr>
      <w:sz w:val="20"/>
      <w:szCs w:val="20"/>
    </w:rPr>
  </w:style>
  <w:style w:type="paragraph" w:styleId="Titolo1">
    <w:name w:val="heading 1"/>
    <w:basedOn w:val="Normale"/>
    <w:next w:val="Normale"/>
    <w:link w:val="Titolo1Carattere"/>
    <w:uiPriority w:val="99"/>
    <w:qFormat/>
    <w:pPr>
      <w:keepNext/>
      <w:jc w:val="both"/>
      <w:outlineLvl w:val="0"/>
    </w:pPr>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Pr>
      <w:rFonts w:asciiTheme="majorHAnsi" w:eastAsiaTheme="majorEastAsia" w:hAnsiTheme="majorHAnsi" w:cstheme="majorBidi"/>
      <w:b/>
      <w:bCs/>
      <w:kern w:val="32"/>
      <w:sz w:val="32"/>
      <w:szCs w:val="32"/>
    </w:rPr>
  </w:style>
  <w:style w:type="paragraph" w:styleId="Titolo">
    <w:name w:val="Title"/>
    <w:basedOn w:val="Normale"/>
    <w:link w:val="TitoloCarattere"/>
    <w:uiPriority w:val="99"/>
    <w:qFormat/>
    <w:pPr>
      <w:jc w:val="center"/>
    </w:pPr>
    <w:rPr>
      <w:sz w:val="24"/>
      <w:szCs w:val="24"/>
    </w:rPr>
  </w:style>
  <w:style w:type="character" w:customStyle="1" w:styleId="TitoloCarattere">
    <w:name w:val="Titolo Carattere"/>
    <w:basedOn w:val="Carpredefinitoparagrafo"/>
    <w:link w:val="Titolo"/>
    <w:uiPriority w:val="10"/>
    <w:rPr>
      <w:rFonts w:asciiTheme="majorHAnsi" w:eastAsiaTheme="majorEastAsia" w:hAnsiTheme="majorHAnsi" w:cstheme="majorBidi"/>
      <w:b/>
      <w:bCs/>
      <w:kern w:val="28"/>
      <w:sz w:val="32"/>
      <w:szCs w:val="32"/>
    </w:rPr>
  </w:style>
  <w:style w:type="paragraph" w:styleId="Corpotesto">
    <w:name w:val="Body Text"/>
    <w:basedOn w:val="Normale"/>
    <w:link w:val="CorpotestoCarattere"/>
    <w:uiPriority w:val="1"/>
    <w:qFormat/>
    <w:rsid w:val="00015D0D"/>
    <w:pPr>
      <w:widowControl w:val="0"/>
      <w:autoSpaceDE w:val="0"/>
      <w:autoSpaceDN w:val="0"/>
    </w:pPr>
    <w:rPr>
      <w:rFonts w:ascii="Arial" w:eastAsia="Arial" w:hAnsi="Arial" w:cs="Arial"/>
      <w:sz w:val="22"/>
      <w:szCs w:val="22"/>
      <w:lang w:bidi="it-IT"/>
    </w:rPr>
  </w:style>
  <w:style w:type="character" w:customStyle="1" w:styleId="CorpotestoCarattere">
    <w:name w:val="Corpo testo Carattere"/>
    <w:basedOn w:val="Carpredefinitoparagrafo"/>
    <w:link w:val="Corpotesto"/>
    <w:uiPriority w:val="1"/>
    <w:rsid w:val="00015D0D"/>
    <w:rPr>
      <w:rFonts w:ascii="Arial" w:eastAsia="Arial" w:hAnsi="Arial" w:cs="Arial"/>
      <w:lang w:bidi="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Pages>
  <Words>358</Words>
  <Characters>2041</Characters>
  <Application>Microsoft Office Word</Application>
  <DocSecurity>0</DocSecurity>
  <Lines>17</Lines>
  <Paragraphs>4</Paragraphs>
  <ScaleCrop>false</ScaleCrop>
  <HeadingPairs>
    <vt:vector size="2" baseType="variant">
      <vt:variant>
        <vt:lpstr>Titolo</vt:lpstr>
      </vt:variant>
      <vt:variant>
        <vt:i4>1</vt:i4>
      </vt:variant>
    </vt:vector>
  </HeadingPairs>
  <TitlesOfParts>
    <vt:vector size="1" baseType="lpstr">
      <vt:lpstr>LA CASA UNIVERSALE DI GIUSTIZIA</vt:lpstr>
    </vt:vector>
  </TitlesOfParts>
  <Company> </Company>
  <LinksUpToDate>false</LinksUpToDate>
  <CharactersWithSpaces>2395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 CASA UNIVERSALE DI GIUSTIZIA</dc:title>
  <dc:subject/>
  <dc:creator>Farhad &amp; Manuela Vahdat</dc:creator>
  <cp:keywords/>
  <dc:description/>
  <cp:lastModifiedBy>Puya Roshanian</cp:lastModifiedBy>
  <cp:revision>5</cp:revision>
  <dcterms:created xsi:type="dcterms:W3CDTF">2017-09-18T09:43:00Z</dcterms:created>
  <dcterms:modified xsi:type="dcterms:W3CDTF">2021-01-29T21:47:00Z</dcterms:modified>
</cp:coreProperties>
</file>